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3EB1" w:rsidRDefault="003F0F42">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#124</w:t>
      </w:r>
      <w:r>
        <w:rPr>
          <w:b/>
          <w:i/>
          <w:sz w:val="28"/>
        </w:rPr>
        <w:tab/>
      </w:r>
      <w:r>
        <w:rPr>
          <w:rFonts w:eastAsia="MS Mincho" w:cs="Arial"/>
          <w:b/>
          <w:sz w:val="22"/>
          <w:szCs w:val="22"/>
          <w:lang w:val="en-US"/>
        </w:rPr>
        <w:t>R2-2312096</w:t>
      </w:r>
    </w:p>
    <w:p w:rsidR="00163EB1" w:rsidRDefault="003F0F42">
      <w:pPr>
        <w:pStyle w:val="CRCoverPage"/>
        <w:tabs>
          <w:tab w:val="right" w:pos="9639"/>
        </w:tabs>
        <w:spacing w:after="0"/>
        <w:rPr>
          <w:b/>
          <w:sz w:val="22"/>
          <w:szCs w:val="22"/>
          <w:lang w:eastAsia="zh-CN"/>
        </w:rPr>
      </w:pPr>
      <w:r>
        <w:rPr>
          <w:b/>
          <w:sz w:val="22"/>
          <w:szCs w:val="22"/>
          <w:lang w:eastAsia="zh-CN"/>
        </w:rPr>
        <w:t>Chicago, USA, 13</w:t>
      </w:r>
      <w:r>
        <w:rPr>
          <w:b/>
          <w:sz w:val="22"/>
          <w:szCs w:val="22"/>
          <w:vertAlign w:val="superscript"/>
          <w:lang w:eastAsia="zh-CN"/>
        </w:rPr>
        <w:t>th</w:t>
      </w:r>
      <w:r>
        <w:rPr>
          <w:b/>
          <w:sz w:val="22"/>
          <w:szCs w:val="22"/>
          <w:lang w:eastAsia="zh-CN"/>
        </w:rPr>
        <w:t xml:space="preserve"> – 17</w:t>
      </w:r>
      <w:r>
        <w:rPr>
          <w:b/>
          <w:sz w:val="22"/>
          <w:szCs w:val="22"/>
          <w:vertAlign w:val="superscript"/>
          <w:lang w:eastAsia="zh-CN"/>
        </w:rPr>
        <w:t>th</w:t>
      </w:r>
      <w:r>
        <w:rPr>
          <w:b/>
          <w:sz w:val="22"/>
          <w:szCs w:val="22"/>
          <w:lang w:eastAsia="zh-CN"/>
        </w:rPr>
        <w:t xml:space="preserve"> Nov 2024</w:t>
      </w:r>
    </w:p>
    <w:p w:rsidR="00163EB1" w:rsidRDefault="00163EB1">
      <w:pPr>
        <w:pStyle w:val="af0"/>
        <w:rPr>
          <w:rFonts w:eastAsia="宋体" w:cs="Arial"/>
          <w:bCs/>
          <w:sz w:val="22"/>
          <w:szCs w:val="22"/>
          <w:lang w:val="en-GB" w:eastAsia="zh-CN"/>
        </w:rPr>
      </w:pPr>
    </w:p>
    <w:p w:rsidR="00163EB1" w:rsidRDefault="003F0F42">
      <w:pPr>
        <w:pStyle w:val="af0"/>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t>7.9.2</w:t>
      </w:r>
    </w:p>
    <w:p w:rsidR="00163EB1" w:rsidRDefault="003F0F42">
      <w:pPr>
        <w:pStyle w:val="af0"/>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w:t>
      </w:r>
    </w:p>
    <w:p w:rsidR="00163EB1" w:rsidRDefault="003F0F42">
      <w:pPr>
        <w:pStyle w:val="af0"/>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sidR="000007ED" w:rsidRPr="000007ED">
        <w:rPr>
          <w:rFonts w:cs="Arial"/>
          <w:sz w:val="22"/>
          <w:szCs w:val="22"/>
        </w:rPr>
        <w:t>Remaining issues on Multi-path relay</w:t>
      </w:r>
      <w:r>
        <w:rPr>
          <w:rFonts w:cs="Arial"/>
          <w:sz w:val="22"/>
          <w:szCs w:val="22"/>
        </w:rPr>
        <w:t xml:space="preserve"> </w:t>
      </w:r>
    </w:p>
    <w:p w:rsidR="00163EB1" w:rsidRDefault="003F0F42">
      <w:pPr>
        <w:pStyle w:val="af0"/>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rsidR="00163EB1" w:rsidRDefault="003F0F4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4"/>
      <w:bookmarkStart w:id="1" w:name="OLE_LINK13"/>
      <w:r>
        <w:rPr>
          <w:rFonts w:eastAsia="MS Mincho" w:cs="Times New Roman" w:hint="eastAsia"/>
          <w:b w:val="0"/>
          <w:bCs w:val="0"/>
          <w:kern w:val="0"/>
          <w:sz w:val="36"/>
          <w:szCs w:val="20"/>
          <w:lang w:val="en-GB" w:eastAsia="ja-JP"/>
        </w:rPr>
        <w:t>Introduction</w:t>
      </w:r>
    </w:p>
    <w:p w:rsidR="00163EB1" w:rsidRDefault="003F0F42">
      <w:pPr>
        <w:jc w:val="both"/>
        <w:rPr>
          <w:szCs w:val="21"/>
          <w:lang w:eastAsia="zh-CN"/>
        </w:rPr>
      </w:pPr>
      <w:bookmarkStart w:id="2" w:name="_Hlk53665621"/>
      <w:r>
        <w:rPr>
          <w:rFonts w:eastAsia="Malgun Gothic"/>
          <w:szCs w:val="20"/>
          <w:lang w:eastAsia="zh-CN"/>
        </w:rPr>
        <w:t>At last RAN2 meeting [1], RAN2 discussed a lot of issues and made lots of agreements on multi-path. Still, there are some open issues, see RRC open issue list in [2].</w:t>
      </w:r>
    </w:p>
    <w:p w:rsidR="00163EB1" w:rsidRDefault="003F0F42">
      <w:pPr>
        <w:spacing w:beforeLines="50" w:before="120" w:after="120" w:line="260" w:lineRule="exact"/>
        <w:jc w:val="both"/>
        <w:rPr>
          <w:szCs w:val="20"/>
        </w:rPr>
      </w:pPr>
      <w:r>
        <w:rPr>
          <w:szCs w:val="20"/>
        </w:rPr>
        <w:t xml:space="preserve">In this contribution, we will further </w:t>
      </w:r>
      <w:bookmarkEnd w:id="2"/>
      <w:r>
        <w:rPr>
          <w:szCs w:val="20"/>
        </w:rPr>
        <w:t xml:space="preserve">discuss </w:t>
      </w:r>
      <w:r>
        <w:rPr>
          <w:rFonts w:eastAsia="宋体" w:hint="eastAsia"/>
          <w:lang w:eastAsia="zh-CN"/>
        </w:rPr>
        <w:t>some</w:t>
      </w:r>
      <w:r>
        <w:rPr>
          <w:rFonts w:eastAsia="宋体"/>
          <w:b/>
        </w:rPr>
        <w:t xml:space="preserve"> </w:t>
      </w:r>
      <w:r>
        <w:rPr>
          <w:rFonts w:eastAsia="宋体" w:hint="eastAsia"/>
          <w:szCs w:val="20"/>
          <w:lang w:eastAsia="zh-CN"/>
        </w:rPr>
        <w:t>m</w:t>
      </w:r>
      <w:r>
        <w:rPr>
          <w:szCs w:val="20"/>
        </w:rPr>
        <w:t xml:space="preserve">ulti-path </w:t>
      </w:r>
      <w:r>
        <w:rPr>
          <w:rFonts w:eastAsia="Malgun Gothic"/>
          <w:szCs w:val="20"/>
          <w:lang w:eastAsia="zh-CN"/>
        </w:rPr>
        <w:t xml:space="preserve">RRC open issues </w:t>
      </w:r>
      <w:r>
        <w:rPr>
          <w:szCs w:val="20"/>
        </w:rPr>
        <w:t>as followings:</w:t>
      </w:r>
    </w:p>
    <w:p w:rsidR="00163EB1" w:rsidRDefault="003F0F42">
      <w:pPr>
        <w:pStyle w:val="maintext"/>
        <w:numPr>
          <w:ilvl w:val="0"/>
          <w:numId w:val="7"/>
        </w:numPr>
        <w:spacing w:line="240" w:lineRule="auto"/>
        <w:ind w:firstLineChars="0"/>
        <w:rPr>
          <w:rFonts w:cs="Times New Roman"/>
          <w:sz w:val="20"/>
          <w:szCs w:val="20"/>
        </w:rPr>
      </w:pPr>
      <w:r>
        <w:rPr>
          <w:rFonts w:cs="Times New Roman"/>
          <w:sz w:val="20"/>
          <w:szCs w:val="20"/>
        </w:rPr>
        <w:t>For T420-like timer stop condition, down-selection from the following options:</w:t>
      </w:r>
    </w:p>
    <w:p w:rsidR="00163EB1" w:rsidRDefault="003F0F42">
      <w:pPr>
        <w:pStyle w:val="af3"/>
        <w:numPr>
          <w:ilvl w:val="1"/>
          <w:numId w:val="7"/>
        </w:numPr>
        <w:contextualSpacing/>
        <w:rPr>
          <w:rFonts w:ascii="Times New Roman" w:hAnsi="Times New Roman" w:cs="Times New Roman"/>
          <w:sz w:val="20"/>
          <w:szCs w:val="20"/>
        </w:rPr>
      </w:pPr>
      <w:r>
        <w:rPr>
          <w:rFonts w:ascii="Times New Roman" w:hAnsi="Times New Roman" w:cs="Times New Roman"/>
          <w:sz w:val="20"/>
          <w:szCs w:val="20"/>
        </w:rPr>
        <w:t>Option 1: PC5 connection is established (i.e., PC5-S unicast link establishment procedure is complete).</w:t>
      </w:r>
    </w:p>
    <w:p w:rsidR="00163EB1" w:rsidRDefault="003F0F42">
      <w:pPr>
        <w:pStyle w:val="af3"/>
        <w:numPr>
          <w:ilvl w:val="1"/>
          <w:numId w:val="7"/>
        </w:numPr>
        <w:contextualSpacing/>
        <w:rPr>
          <w:rFonts w:ascii="Times New Roman" w:hAnsi="Times New Roman" w:cs="Times New Roman"/>
          <w:sz w:val="20"/>
          <w:szCs w:val="20"/>
        </w:rPr>
      </w:pPr>
      <w:r>
        <w:rPr>
          <w:rFonts w:ascii="Times New Roman" w:hAnsi="Times New Roman" w:cs="Times New Roman"/>
          <w:sz w:val="20"/>
          <w:szCs w:val="20"/>
        </w:rPr>
        <w:t xml:space="preserve">Option 2: upon reception of </w:t>
      </w:r>
      <w:proofErr w:type="spellStart"/>
      <w:r>
        <w:rPr>
          <w:rFonts w:ascii="Times New Roman" w:hAnsi="Times New Roman" w:cs="Times New Roman"/>
          <w:i/>
          <w:sz w:val="20"/>
          <w:szCs w:val="20"/>
        </w:rPr>
        <w:t>RRCReconfigurationCompleteSidelink</w:t>
      </w:r>
      <w:proofErr w:type="spellEnd"/>
      <w:r>
        <w:rPr>
          <w:rFonts w:ascii="Times New Roman" w:hAnsi="Times New Roman" w:cs="Times New Roman"/>
          <w:sz w:val="20"/>
          <w:szCs w:val="20"/>
        </w:rPr>
        <w:t>.</w:t>
      </w:r>
    </w:p>
    <w:p w:rsidR="00163EB1" w:rsidRDefault="003F0F42">
      <w:pPr>
        <w:pStyle w:val="afb"/>
        <w:numPr>
          <w:ilvl w:val="0"/>
          <w:numId w:val="7"/>
        </w:numPr>
        <w:ind w:firstLineChars="0"/>
        <w:rPr>
          <w:rFonts w:ascii="Times New Roman" w:eastAsia="Malgun Gothic" w:hAnsi="Times New Roman"/>
          <w:kern w:val="0"/>
          <w:sz w:val="20"/>
          <w:szCs w:val="20"/>
        </w:rPr>
      </w:pPr>
      <w:r>
        <w:rPr>
          <w:rFonts w:ascii="Times New Roman" w:eastAsia="Malgun Gothic" w:hAnsi="Times New Roman"/>
          <w:kern w:val="0"/>
          <w:sz w:val="20"/>
          <w:szCs w:val="20"/>
        </w:rPr>
        <w:t>Whether T420-like timer is applicable to Scenario 2</w:t>
      </w:r>
    </w:p>
    <w:p w:rsidR="00163EB1" w:rsidRDefault="003F0F42">
      <w:pPr>
        <w:pStyle w:val="maintext"/>
        <w:numPr>
          <w:ilvl w:val="0"/>
          <w:numId w:val="7"/>
        </w:numPr>
        <w:spacing w:line="240" w:lineRule="auto"/>
        <w:ind w:firstLineChars="0"/>
        <w:rPr>
          <w:rFonts w:cs="Times New Roman"/>
          <w:sz w:val="20"/>
          <w:szCs w:val="20"/>
        </w:rPr>
      </w:pPr>
      <w:r>
        <w:rPr>
          <w:rFonts w:cs="Times New Roman"/>
          <w:sz w:val="20"/>
          <w:szCs w:val="20"/>
        </w:rPr>
        <w:t>Whether to confirm the working assumption on T304 expiry</w:t>
      </w:r>
    </w:p>
    <w:p w:rsidR="00163EB1" w:rsidRDefault="003F0F42">
      <w:pPr>
        <w:pStyle w:val="maintext"/>
        <w:numPr>
          <w:ilvl w:val="0"/>
          <w:numId w:val="7"/>
        </w:numPr>
        <w:spacing w:line="240" w:lineRule="auto"/>
        <w:ind w:firstLineChars="0"/>
        <w:rPr>
          <w:rFonts w:cs="Times New Roman"/>
          <w:sz w:val="20"/>
          <w:szCs w:val="20"/>
        </w:rPr>
      </w:pPr>
      <w:r>
        <w:rPr>
          <w:rFonts w:cs="Times New Roman"/>
          <w:sz w:val="20"/>
          <w:szCs w:val="20"/>
        </w:rPr>
        <w:t>How to handle the PC5 unicast link</w:t>
      </w:r>
    </w:p>
    <w:p w:rsidR="00163EB1" w:rsidRDefault="003F0F42">
      <w:pPr>
        <w:pStyle w:val="maintext"/>
        <w:numPr>
          <w:ilvl w:val="0"/>
          <w:numId w:val="7"/>
        </w:numPr>
        <w:spacing w:line="240" w:lineRule="auto"/>
        <w:ind w:firstLineChars="0"/>
        <w:rPr>
          <w:rFonts w:cs="Times New Roman"/>
          <w:sz w:val="20"/>
          <w:szCs w:val="20"/>
        </w:rPr>
      </w:pPr>
      <w:r>
        <w:rPr>
          <w:rFonts w:cs="Times New Roman"/>
          <w:sz w:val="20"/>
          <w:szCs w:val="20"/>
        </w:rPr>
        <w:t xml:space="preserve">How to handle the </w:t>
      </w:r>
      <w:proofErr w:type="spellStart"/>
      <w:r>
        <w:rPr>
          <w:rFonts w:cs="Times New Roman"/>
          <w:sz w:val="20"/>
          <w:szCs w:val="20"/>
        </w:rPr>
        <w:t>relayUE</w:t>
      </w:r>
      <w:proofErr w:type="spellEnd"/>
      <w:r>
        <w:rPr>
          <w:rFonts w:cs="Times New Roman"/>
          <w:sz w:val="20"/>
          <w:szCs w:val="20"/>
        </w:rPr>
        <w:t>-HO</w:t>
      </w:r>
    </w:p>
    <w:p w:rsidR="00163EB1" w:rsidRDefault="00163EB1">
      <w:pPr>
        <w:pStyle w:val="maintext"/>
        <w:spacing w:line="240" w:lineRule="auto"/>
        <w:ind w:firstLineChars="0" w:firstLine="0"/>
        <w:rPr>
          <w:rFonts w:cs="Times New Roman"/>
          <w:sz w:val="20"/>
          <w:szCs w:val="20"/>
          <w:highlight w:val="yellow"/>
        </w:rPr>
      </w:pPr>
    </w:p>
    <w:p w:rsidR="00163EB1" w:rsidRDefault="003F0F4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hint="eastAsia"/>
          <w:b w:val="0"/>
          <w:bCs w:val="0"/>
          <w:kern w:val="0"/>
          <w:sz w:val="36"/>
          <w:szCs w:val="20"/>
          <w:lang w:val="en-GB" w:eastAsia="ja-JP"/>
        </w:rPr>
        <w:t>Discussion</w:t>
      </w:r>
    </w:p>
    <w:p w:rsidR="00163EB1" w:rsidRDefault="003F0F42">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T420-like timer stop condition</w:t>
      </w:r>
    </w:p>
    <w:p w:rsidR="00163EB1" w:rsidRDefault="003F0F42">
      <w:pPr>
        <w:spacing w:beforeLines="50" w:before="120" w:afterLines="50" w:after="120"/>
        <w:jc w:val="both"/>
        <w:rPr>
          <w:rFonts w:eastAsia="Calibri"/>
          <w:szCs w:val="20"/>
          <w:lang w:eastAsia="zh-CN"/>
        </w:rPr>
      </w:pPr>
      <w:r>
        <w:rPr>
          <w:rFonts w:eastAsia="Calibri"/>
          <w:szCs w:val="20"/>
          <w:lang w:eastAsia="zh-CN"/>
        </w:rPr>
        <w:t>There are two candidate options on timer T420 stop condition, see Issue#2-2 as below:</w:t>
      </w:r>
    </w:p>
    <w:tbl>
      <w:tblPr>
        <w:tblStyle w:val="af6"/>
        <w:tblW w:w="5000" w:type="pct"/>
        <w:tblLook w:val="04A0" w:firstRow="1" w:lastRow="0" w:firstColumn="1" w:lastColumn="0" w:noHBand="0" w:noVBand="1"/>
      </w:tblPr>
      <w:tblGrid>
        <w:gridCol w:w="3376"/>
        <w:gridCol w:w="3355"/>
        <w:gridCol w:w="2329"/>
      </w:tblGrid>
      <w:tr w:rsidR="00163EB1">
        <w:tc>
          <w:tcPr>
            <w:tcW w:w="2040" w:type="pct"/>
          </w:tcPr>
          <w:p w:rsidR="00163EB1" w:rsidRDefault="003F0F42">
            <w:bookmarkStart w:id="3" w:name="OLE_LINK7"/>
            <w:bookmarkStart w:id="4" w:name="_Hlk142376819"/>
            <w:r>
              <w:t>Issue#2-2. Stop condition of T420-like timer, when relay UE is in idle/inactive state and triggered to connected state by PC5-RRC, or when relay UE is in connected state. (Scenario 1 only)</w:t>
            </w:r>
          </w:p>
          <w:p w:rsidR="00163EB1" w:rsidRDefault="00163EB1"/>
        </w:tc>
        <w:tc>
          <w:tcPr>
            <w:tcW w:w="1498" w:type="pct"/>
          </w:tcPr>
          <w:p w:rsidR="00163EB1" w:rsidRDefault="003F0F42">
            <w:r>
              <w:t>In RAN2 #123bis meeting, the following agreement was achieved,</w:t>
            </w:r>
          </w:p>
          <w:p w:rsidR="00163EB1" w:rsidRDefault="003F0F42">
            <w:r>
              <w:t xml:space="preserve">If </w:t>
            </w:r>
            <w:proofErr w:type="spellStart"/>
            <w:r>
              <w:rPr>
                <w:i/>
              </w:rPr>
              <w:t>RRCReconfigurationComplete</w:t>
            </w:r>
            <w:proofErr w:type="spellEnd"/>
            <w:r>
              <w:t xml:space="preserve"> is transmitted in indirect path, reuse R17 Legacy T420 stop condition (i.e., PC5 RLC ACK of </w:t>
            </w:r>
            <w:proofErr w:type="spellStart"/>
            <w:r>
              <w:rPr>
                <w:i/>
              </w:rPr>
              <w:t>RRCReconfigurationComplete</w:t>
            </w:r>
            <w:proofErr w:type="spellEnd"/>
            <w:r>
              <w:t xml:space="preserve"> in indirect path) for new T420-like timer. Else, down-select next meeting from the following options for the stop condition:</w:t>
            </w:r>
          </w:p>
          <w:p w:rsidR="00163EB1" w:rsidRDefault="003F0F42">
            <w:r>
              <w:rPr>
                <w:b/>
              </w:rPr>
              <w:t xml:space="preserve">Option 1: </w:t>
            </w:r>
            <w:r>
              <w:t>PC5 connection is established (i.e., PC5-S unicast link establishment procedure is complete).</w:t>
            </w:r>
          </w:p>
          <w:p w:rsidR="00163EB1" w:rsidRDefault="003F0F42">
            <w:r>
              <w:rPr>
                <w:b/>
              </w:rPr>
              <w:t xml:space="preserve">Option 2: </w:t>
            </w:r>
            <w:r>
              <w:t xml:space="preserve">upon reception of </w:t>
            </w:r>
            <w:proofErr w:type="spellStart"/>
            <w:r>
              <w:rPr>
                <w:i/>
              </w:rPr>
              <w:t>RRCReconfigurationCompleteSidelink</w:t>
            </w:r>
            <w:proofErr w:type="spellEnd"/>
            <w:r>
              <w:t>.</w:t>
            </w:r>
          </w:p>
        </w:tc>
        <w:tc>
          <w:tcPr>
            <w:tcW w:w="1463" w:type="pct"/>
          </w:tcPr>
          <w:p w:rsidR="00163EB1" w:rsidRDefault="003F0F42">
            <w:r>
              <w:t>To be discussed in next meeting.</w:t>
            </w:r>
          </w:p>
        </w:tc>
      </w:tr>
    </w:tbl>
    <w:p w:rsidR="00163EB1" w:rsidRDefault="003F0F42">
      <w:pPr>
        <w:spacing w:beforeLines="50" w:before="120" w:afterLines="50" w:after="120"/>
        <w:jc w:val="both"/>
        <w:rPr>
          <w:rFonts w:eastAsia="Calibri"/>
          <w:szCs w:val="20"/>
        </w:rPr>
      </w:pPr>
      <w:r>
        <w:rPr>
          <w:rFonts w:eastAsia="Calibri"/>
          <w:szCs w:val="20"/>
        </w:rPr>
        <w:t xml:space="preserve">For </w:t>
      </w:r>
      <w:r>
        <w:rPr>
          <w:rFonts w:eastAsia="Calibri"/>
          <w:b/>
          <w:bCs/>
          <w:szCs w:val="20"/>
        </w:rPr>
        <w:t xml:space="preserve">Option </w:t>
      </w:r>
      <w:r>
        <w:rPr>
          <w:rFonts w:eastAsia="Calibri" w:hint="eastAsia"/>
          <w:b/>
          <w:bCs/>
          <w:szCs w:val="20"/>
        </w:rPr>
        <w:t>1</w:t>
      </w:r>
      <w:r>
        <w:rPr>
          <w:rFonts w:eastAsia="Calibri"/>
          <w:szCs w:val="20"/>
        </w:rPr>
        <w:t>, For RRC Idle relay UE, after t</w:t>
      </w:r>
      <w:r>
        <w:rPr>
          <w:rFonts w:eastAsia="Calibri" w:hint="eastAsia"/>
          <w:szCs w:val="20"/>
        </w:rPr>
        <w:t xml:space="preserve">he remote UE triggers </w:t>
      </w:r>
      <w:r>
        <w:rPr>
          <w:rFonts w:eastAsia="Calibri"/>
          <w:szCs w:val="20"/>
        </w:rPr>
        <w:t xml:space="preserve">the relay </w:t>
      </w:r>
      <w:r>
        <w:rPr>
          <w:rFonts w:eastAsia="Calibri" w:hint="eastAsia"/>
          <w:szCs w:val="20"/>
        </w:rPr>
        <w:t xml:space="preserve">to </w:t>
      </w:r>
      <w:r>
        <w:rPr>
          <w:rFonts w:eastAsia="Calibri"/>
          <w:szCs w:val="20"/>
        </w:rPr>
        <w:t xml:space="preserve">successfully </w:t>
      </w:r>
      <w:r>
        <w:rPr>
          <w:rFonts w:eastAsia="Calibri" w:hint="eastAsia"/>
          <w:szCs w:val="20"/>
        </w:rPr>
        <w:t xml:space="preserve">establish </w:t>
      </w:r>
      <w:r>
        <w:rPr>
          <w:rFonts w:eastAsia="Calibri"/>
          <w:szCs w:val="20"/>
        </w:rPr>
        <w:t>PC5</w:t>
      </w:r>
      <w:r>
        <w:rPr>
          <w:rFonts w:eastAsia="Calibri" w:hint="eastAsia"/>
          <w:szCs w:val="20"/>
        </w:rPr>
        <w:t>-RRC</w:t>
      </w:r>
      <w:r>
        <w:rPr>
          <w:rFonts w:eastAsia="Calibri"/>
          <w:szCs w:val="20"/>
        </w:rPr>
        <w:t xml:space="preserve"> connection, the relay UE would still </w:t>
      </w:r>
      <w:r w:rsidR="006C2996" w:rsidRPr="006C2996">
        <w:rPr>
          <w:rFonts w:eastAsia="Calibri" w:hint="eastAsia"/>
          <w:szCs w:val="20"/>
        </w:rPr>
        <w:t>execute</w:t>
      </w:r>
      <w:r w:rsidR="006C2996">
        <w:rPr>
          <w:rFonts w:eastAsia="Calibri"/>
          <w:szCs w:val="20"/>
        </w:rPr>
        <w:t xml:space="preserve"> subsequent PC5 RRC reconfiguration, as well as </w:t>
      </w:r>
      <w:r>
        <w:rPr>
          <w:rFonts w:eastAsia="Calibri"/>
          <w:szCs w:val="20"/>
        </w:rPr>
        <w:t xml:space="preserve">wait for the new PC5-RRC indication </w:t>
      </w:r>
      <w:r w:rsidR="006C2996">
        <w:rPr>
          <w:rFonts w:eastAsia="Calibri"/>
          <w:szCs w:val="20"/>
        </w:rPr>
        <w:t xml:space="preserve">from remote UE </w:t>
      </w:r>
      <w:r>
        <w:rPr>
          <w:rFonts w:eastAsia="Calibri"/>
          <w:szCs w:val="20"/>
        </w:rPr>
        <w:t xml:space="preserve">to trigger establish RRC connection with the serving </w:t>
      </w:r>
      <w:proofErr w:type="spellStart"/>
      <w:r>
        <w:rPr>
          <w:rFonts w:eastAsia="Calibri"/>
          <w:szCs w:val="20"/>
        </w:rPr>
        <w:t>gNB</w:t>
      </w:r>
      <w:proofErr w:type="spellEnd"/>
      <w:r>
        <w:rPr>
          <w:rFonts w:eastAsia="Calibri"/>
          <w:szCs w:val="20"/>
        </w:rPr>
        <w:t xml:space="preserve"> of the remote UE indirect path. A</w:t>
      </w:r>
      <w:r>
        <w:rPr>
          <w:rFonts w:eastAsia="Calibri" w:hint="eastAsia"/>
          <w:szCs w:val="20"/>
        </w:rPr>
        <w:t>s</w:t>
      </w:r>
      <w:r>
        <w:rPr>
          <w:rFonts w:eastAsia="Calibri"/>
          <w:szCs w:val="20"/>
        </w:rPr>
        <w:t xml:space="preserve"> a consequence, the time gap between “PC5 RRC connection is established” and “relay UE </w:t>
      </w:r>
      <w:r>
        <w:rPr>
          <w:rFonts w:eastAsia="Calibri" w:hint="eastAsia"/>
          <w:szCs w:val="20"/>
        </w:rPr>
        <w:t xml:space="preserve">RRC connection </w:t>
      </w:r>
      <w:r>
        <w:rPr>
          <w:rFonts w:eastAsia="Calibri"/>
          <w:szCs w:val="20"/>
        </w:rPr>
        <w:t xml:space="preserve">establishment is triggered” is uncertain and could be very long. Thus, the timing of </w:t>
      </w:r>
      <w:r>
        <w:rPr>
          <w:rFonts w:eastAsia="Calibri" w:hint="eastAsia"/>
          <w:b/>
          <w:bCs/>
          <w:szCs w:val="20"/>
        </w:rPr>
        <w:t>Option 1</w:t>
      </w:r>
      <w:r>
        <w:rPr>
          <w:rFonts w:eastAsia="Calibri"/>
          <w:b/>
          <w:bCs/>
          <w:szCs w:val="20"/>
        </w:rPr>
        <w:t xml:space="preserve">, </w:t>
      </w:r>
      <w:r>
        <w:rPr>
          <w:rFonts w:eastAsia="Calibri"/>
          <w:szCs w:val="20"/>
        </w:rPr>
        <w:t>i.e.,</w:t>
      </w:r>
      <w:r>
        <w:rPr>
          <w:rFonts w:eastAsia="Calibri"/>
          <w:b/>
          <w:bCs/>
          <w:szCs w:val="20"/>
        </w:rPr>
        <w:t xml:space="preserve"> </w:t>
      </w:r>
      <w:r>
        <w:t>PC5 connection is established,</w:t>
      </w:r>
      <w:r>
        <w:rPr>
          <w:rFonts w:eastAsia="Calibri"/>
          <w:szCs w:val="20"/>
        </w:rPr>
        <w:t xml:space="preserve"> is too early to ensure that the rela</w:t>
      </w:r>
      <w:bookmarkStart w:id="5" w:name="_GoBack"/>
      <w:bookmarkEnd w:id="5"/>
      <w:r>
        <w:rPr>
          <w:rFonts w:eastAsia="Calibri"/>
          <w:szCs w:val="20"/>
        </w:rPr>
        <w:t>y UE can successfully</w:t>
      </w:r>
      <w:r>
        <w:rPr>
          <w:rFonts w:eastAsia="Calibri" w:hint="eastAsia"/>
          <w:szCs w:val="20"/>
        </w:rPr>
        <w:t xml:space="preserve"> </w:t>
      </w:r>
      <w:r>
        <w:rPr>
          <w:rFonts w:eastAsia="Calibri"/>
          <w:szCs w:val="20"/>
        </w:rPr>
        <w:t xml:space="preserve">serve the remote UE. Therefore </w:t>
      </w:r>
      <w:r>
        <w:t>PC5-S unicast link establishment procedure complete should not be a stop condition of the new T420 timer.</w:t>
      </w:r>
    </w:p>
    <w:p w:rsidR="00163EB1" w:rsidRDefault="003F0F42">
      <w:pPr>
        <w:spacing w:beforeLines="50" w:before="120" w:afterLines="50" w:after="120"/>
        <w:jc w:val="both"/>
        <w:rPr>
          <w:rFonts w:eastAsia="Calibri"/>
          <w:szCs w:val="20"/>
        </w:rPr>
      </w:pPr>
      <w:r>
        <w:rPr>
          <w:rFonts w:eastAsia="Calibri" w:hint="eastAsia"/>
          <w:szCs w:val="20"/>
        </w:rPr>
        <w:t xml:space="preserve">For </w:t>
      </w:r>
      <w:r>
        <w:rPr>
          <w:rFonts w:eastAsia="Calibri"/>
          <w:b/>
          <w:bCs/>
          <w:szCs w:val="20"/>
        </w:rPr>
        <w:t>O</w:t>
      </w:r>
      <w:r>
        <w:rPr>
          <w:rFonts w:eastAsia="Calibri" w:hint="eastAsia"/>
          <w:b/>
          <w:bCs/>
          <w:szCs w:val="20"/>
        </w:rPr>
        <w:t>ption 2</w:t>
      </w:r>
      <w:r>
        <w:rPr>
          <w:rFonts w:eastAsia="Calibri" w:hint="eastAsia"/>
          <w:szCs w:val="20"/>
        </w:rPr>
        <w:t xml:space="preserve">, The remote UE </w:t>
      </w:r>
      <w:r>
        <w:rPr>
          <w:rFonts w:eastAsia="Calibri"/>
          <w:szCs w:val="20"/>
        </w:rPr>
        <w:t xml:space="preserve">not only </w:t>
      </w:r>
      <w:r>
        <w:rPr>
          <w:rFonts w:eastAsia="Calibri" w:hint="eastAsia"/>
          <w:szCs w:val="20"/>
        </w:rPr>
        <w:t xml:space="preserve">triggers </w:t>
      </w:r>
      <w:r>
        <w:rPr>
          <w:rFonts w:eastAsia="Calibri"/>
          <w:szCs w:val="20"/>
        </w:rPr>
        <w:t xml:space="preserve">the relay </w:t>
      </w:r>
      <w:r>
        <w:rPr>
          <w:rFonts w:eastAsia="Calibri" w:hint="eastAsia"/>
          <w:szCs w:val="20"/>
        </w:rPr>
        <w:t xml:space="preserve">to establish </w:t>
      </w:r>
      <w:r>
        <w:rPr>
          <w:rFonts w:eastAsia="Calibri"/>
          <w:szCs w:val="20"/>
        </w:rPr>
        <w:t>PC5</w:t>
      </w:r>
      <w:r>
        <w:rPr>
          <w:rFonts w:eastAsia="Calibri" w:hint="eastAsia"/>
          <w:szCs w:val="20"/>
        </w:rPr>
        <w:t>-RRC</w:t>
      </w:r>
      <w:r>
        <w:rPr>
          <w:rFonts w:eastAsia="Calibri"/>
          <w:szCs w:val="20"/>
        </w:rPr>
        <w:t xml:space="preserve"> connection, but also has completed a successful PC5</w:t>
      </w:r>
      <w:r>
        <w:rPr>
          <w:rFonts w:eastAsia="Calibri" w:hint="eastAsia"/>
          <w:szCs w:val="20"/>
        </w:rPr>
        <w:t>-RRC</w:t>
      </w:r>
      <w:r>
        <w:rPr>
          <w:rFonts w:eastAsia="Calibri"/>
          <w:szCs w:val="20"/>
        </w:rPr>
        <w:t xml:space="preserve"> reconfiguration procedure with the relay UE</w:t>
      </w:r>
      <w:r>
        <w:rPr>
          <w:rFonts w:eastAsia="Calibri" w:hint="eastAsia"/>
          <w:szCs w:val="20"/>
        </w:rPr>
        <w:t>.</w:t>
      </w:r>
      <w:r>
        <w:rPr>
          <w:rFonts w:eastAsia="Calibri"/>
          <w:szCs w:val="20"/>
        </w:rPr>
        <w:t xml:space="preserve"> </w:t>
      </w:r>
      <w:r>
        <w:rPr>
          <w:rFonts w:eastAsia="Calibri" w:hint="eastAsia"/>
          <w:szCs w:val="20"/>
        </w:rPr>
        <w:t xml:space="preserve">At this moment, </w:t>
      </w:r>
      <w:r>
        <w:rPr>
          <w:rFonts w:eastAsia="Calibri"/>
          <w:szCs w:val="20"/>
        </w:rPr>
        <w:t xml:space="preserve">following the legacy logic to use the per-hop PC5 RLC ACK as successful path switch, </w:t>
      </w:r>
      <w:r>
        <w:rPr>
          <w:rFonts w:eastAsia="Calibri" w:hint="eastAsia"/>
          <w:szCs w:val="20"/>
        </w:rPr>
        <w:t>the remote UE</w:t>
      </w:r>
      <w:r>
        <w:rPr>
          <w:rFonts w:eastAsia="Calibri"/>
          <w:szCs w:val="20"/>
        </w:rPr>
        <w:t xml:space="preserve"> </w:t>
      </w:r>
      <w:r>
        <w:rPr>
          <w:rFonts w:eastAsia="Calibri" w:hint="eastAsia"/>
          <w:szCs w:val="20"/>
        </w:rPr>
        <w:t>can c</w:t>
      </w:r>
      <w:r>
        <w:rPr>
          <w:rFonts w:eastAsia="Calibri"/>
          <w:szCs w:val="20"/>
        </w:rPr>
        <w:t xml:space="preserve">onsider that the indirect path </w:t>
      </w:r>
      <w:r>
        <w:rPr>
          <w:rFonts w:eastAsia="Calibri"/>
          <w:szCs w:val="20"/>
        </w:rPr>
        <w:lastRenderedPageBreak/>
        <w:t>addition is successful, and this can ensure that the relay UE can successfully</w:t>
      </w:r>
      <w:r>
        <w:rPr>
          <w:rFonts w:eastAsia="Calibri" w:hint="eastAsia"/>
          <w:szCs w:val="20"/>
        </w:rPr>
        <w:t xml:space="preserve"> </w:t>
      </w:r>
      <w:r>
        <w:rPr>
          <w:rFonts w:eastAsia="Calibri"/>
          <w:szCs w:val="20"/>
        </w:rPr>
        <w:t xml:space="preserve">serve the remote UE remote. </w:t>
      </w:r>
      <w:r>
        <w:rPr>
          <w:rFonts w:eastAsia="Calibri" w:hint="eastAsia"/>
          <w:szCs w:val="20"/>
        </w:rPr>
        <w:t xml:space="preserve">This option seems safer as a condition to stop </w:t>
      </w:r>
      <w:r>
        <w:rPr>
          <w:rFonts w:eastAsia="Calibri"/>
          <w:szCs w:val="20"/>
        </w:rPr>
        <w:t>T420-like timer</w:t>
      </w:r>
      <w:r>
        <w:rPr>
          <w:rFonts w:eastAsia="Calibri" w:hint="eastAsia"/>
          <w:szCs w:val="20"/>
        </w:rPr>
        <w:t xml:space="preserve">. </w:t>
      </w:r>
      <w:r>
        <w:rPr>
          <w:rFonts w:eastAsia="Calibri"/>
          <w:szCs w:val="20"/>
        </w:rPr>
        <w:t>Therefore,</w:t>
      </w:r>
    </w:p>
    <w:p w:rsidR="00163EB1" w:rsidRDefault="003F0F42">
      <w:pPr>
        <w:pStyle w:val="Proposal"/>
        <w:numPr>
          <w:ilvl w:val="0"/>
          <w:numId w:val="8"/>
        </w:numPr>
        <w:tabs>
          <w:tab w:val="clear" w:pos="1304"/>
        </w:tabs>
        <w:spacing w:beforeLines="50" w:before="120" w:afterLines="50"/>
        <w:ind w:left="1701" w:hanging="1701"/>
        <w:rPr>
          <w:rFonts w:ascii="Times New Roman" w:eastAsia="Calibri" w:hAnsi="Times New Roman"/>
        </w:rPr>
      </w:pPr>
      <w:r>
        <w:rPr>
          <w:rFonts w:ascii="Times New Roman" w:hAnsi="Times New Roman"/>
        </w:rPr>
        <w:t xml:space="preserve">Option2, i.e., upon reception of </w:t>
      </w:r>
      <w:proofErr w:type="spellStart"/>
      <w:r>
        <w:rPr>
          <w:rFonts w:ascii="Times New Roman" w:hAnsi="Times New Roman"/>
          <w:i/>
          <w:iCs/>
        </w:rPr>
        <w:t>RRCReconfigurationCompleteSidelink</w:t>
      </w:r>
      <w:proofErr w:type="spellEnd"/>
      <w:r>
        <w:rPr>
          <w:rFonts w:ascii="Times New Roman" w:hAnsi="Times New Roman"/>
        </w:rPr>
        <w:t xml:space="preserve">, is considered as safe option for T420-like timer stop condition. </w:t>
      </w:r>
    </w:p>
    <w:p w:rsidR="00163EB1" w:rsidRDefault="003F0F42">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Whether T420-like timer is applicable to Scenario 2</w:t>
      </w:r>
    </w:p>
    <w:p w:rsidR="00163EB1" w:rsidRDefault="003F0F42">
      <w:pPr>
        <w:spacing w:beforeLines="50" w:before="120" w:afterLines="50" w:after="120"/>
        <w:jc w:val="both"/>
        <w:rPr>
          <w:rFonts w:eastAsia="Calibri"/>
          <w:szCs w:val="20"/>
        </w:rPr>
      </w:pPr>
      <w:r>
        <w:rPr>
          <w:rFonts w:eastAsia="Calibri" w:hint="eastAsia"/>
          <w:szCs w:val="20"/>
        </w:rPr>
        <w:t>I</w:t>
      </w:r>
      <w:r>
        <w:rPr>
          <w:rFonts w:eastAsia="Calibri"/>
          <w:szCs w:val="20"/>
        </w:rPr>
        <w:t>t’s still FFS whether T420-like timer is applicable to Scenario 2, see Issue #2-3 as below:</w:t>
      </w:r>
    </w:p>
    <w:tbl>
      <w:tblPr>
        <w:tblStyle w:val="af6"/>
        <w:tblW w:w="5000" w:type="pct"/>
        <w:tblLook w:val="04A0" w:firstRow="1" w:lastRow="0" w:firstColumn="1" w:lastColumn="0" w:noHBand="0" w:noVBand="1"/>
      </w:tblPr>
      <w:tblGrid>
        <w:gridCol w:w="3697"/>
        <w:gridCol w:w="2714"/>
        <w:gridCol w:w="2649"/>
      </w:tblGrid>
      <w:tr w:rsidR="00163EB1">
        <w:tc>
          <w:tcPr>
            <w:tcW w:w="2040" w:type="pct"/>
          </w:tcPr>
          <w:p w:rsidR="00163EB1" w:rsidRDefault="003F0F42">
            <w:r>
              <w:t xml:space="preserve">Issue#2-3. To address the </w:t>
            </w:r>
            <w:proofErr w:type="gramStart"/>
            <w:r>
              <w:t>Editor</w:t>
            </w:r>
            <w:proofErr w:type="gramEnd"/>
            <w:r>
              <w:t xml:space="preserve"> Note: whether T4xx is applicable to scenario 2. </w:t>
            </w:r>
          </w:p>
        </w:tc>
        <w:tc>
          <w:tcPr>
            <w:tcW w:w="1498" w:type="pct"/>
          </w:tcPr>
          <w:p w:rsidR="00163EB1" w:rsidRDefault="003F0F42">
            <w:r>
              <w:t>In [Post123</w:t>
            </w:r>
            <w:proofErr w:type="gramStart"/>
            <w:r>
              <w:t>bis][</w:t>
            </w:r>
            <w:proofErr w:type="gramEnd"/>
            <w:r>
              <w:t xml:space="preserve">417], companies raised a question that whether T420-like time is applicable for scenario 2, for which a EN was added. </w:t>
            </w:r>
          </w:p>
        </w:tc>
        <w:tc>
          <w:tcPr>
            <w:tcW w:w="1463" w:type="pct"/>
          </w:tcPr>
          <w:p w:rsidR="00163EB1" w:rsidRDefault="003F0F42">
            <w:r>
              <w:t>To be discussed in next meeting.</w:t>
            </w:r>
          </w:p>
        </w:tc>
      </w:tr>
    </w:tbl>
    <w:p w:rsidR="00163EB1" w:rsidRDefault="003F0F42">
      <w:pPr>
        <w:spacing w:beforeLines="50" w:before="120" w:afterLines="50" w:after="120"/>
        <w:jc w:val="both"/>
        <w:rPr>
          <w:rFonts w:eastAsia="Calibri"/>
          <w:szCs w:val="20"/>
        </w:rPr>
      </w:pPr>
      <w:r>
        <w:rPr>
          <w:rFonts w:eastAsia="Calibri"/>
          <w:szCs w:val="20"/>
        </w:rPr>
        <w:t>Since last RAN2 meeting has agreed that “</w:t>
      </w:r>
      <w:r>
        <w:rPr>
          <w:rFonts w:eastAsia="Calibri"/>
          <w:i/>
          <w:szCs w:val="20"/>
        </w:rPr>
        <w:t>Reporting of idle/inactive relay UEs is not supported in Rel-18 for Scenario 2</w:t>
      </w:r>
      <w:r>
        <w:rPr>
          <w:rFonts w:eastAsia="Calibri"/>
          <w:szCs w:val="20"/>
        </w:rPr>
        <w:t>”, we think the T420-like timer is not useful to Scenario 2 because the relay UE has already been RRC connected.</w:t>
      </w:r>
      <w:r>
        <w:rPr>
          <w:rFonts w:eastAsia="Calibri" w:hint="eastAsia"/>
          <w:szCs w:val="20"/>
        </w:rPr>
        <w:t xml:space="preserve"> </w:t>
      </w:r>
      <w:r>
        <w:rPr>
          <w:rFonts w:eastAsia="Calibri"/>
          <w:szCs w:val="20"/>
        </w:rPr>
        <w:t>Given that the timer T420 is initially introduced for the SL specific operations, it’s also not reasonable for the ideal non-3GPP connection to introduce any time restriction. Therefore,</w:t>
      </w:r>
    </w:p>
    <w:p w:rsidR="00163EB1" w:rsidRDefault="003F0F42">
      <w:pPr>
        <w:pStyle w:val="Proposal"/>
        <w:numPr>
          <w:ilvl w:val="0"/>
          <w:numId w:val="8"/>
        </w:numPr>
        <w:tabs>
          <w:tab w:val="clear" w:pos="1304"/>
        </w:tabs>
        <w:spacing w:beforeLines="50" w:before="120" w:afterLines="50"/>
        <w:ind w:left="1701" w:hanging="1701"/>
        <w:rPr>
          <w:rFonts w:ascii="Times New Roman" w:eastAsia="Calibri" w:hAnsi="Times New Roman"/>
        </w:rPr>
      </w:pPr>
      <w:r>
        <w:rPr>
          <w:rFonts w:ascii="Times New Roman" w:hAnsi="Times New Roman"/>
        </w:rPr>
        <w:t>RAN2 confirm that the T420-like timer is not applicable to Scenario 2.</w:t>
      </w:r>
    </w:p>
    <w:p w:rsidR="00163EB1" w:rsidRDefault="003F0F42">
      <w:pPr>
        <w:keepNext/>
        <w:widowControl w:val="0"/>
        <w:numPr>
          <w:ilvl w:val="1"/>
          <w:numId w:val="6"/>
        </w:numPr>
        <w:spacing w:before="180" w:after="180"/>
        <w:jc w:val="both"/>
        <w:outlineLvl w:val="1"/>
        <w:rPr>
          <w:rFonts w:ascii="Arial" w:eastAsia="等线" w:hAnsi="Arial" w:cs="Arial"/>
          <w:iCs/>
          <w:sz w:val="32"/>
          <w:szCs w:val="32"/>
          <w:lang w:eastAsia="zh-CN"/>
        </w:rPr>
      </w:pPr>
      <w:r>
        <w:rPr>
          <w:rFonts w:ascii="Arial" w:eastAsia="等线" w:hAnsi="Arial" w:cs="Arial"/>
          <w:iCs/>
          <w:sz w:val="32"/>
          <w:szCs w:val="32"/>
          <w:lang w:eastAsia="zh-CN"/>
        </w:rPr>
        <w:t>WA on T304 expiry</w:t>
      </w:r>
    </w:p>
    <w:p w:rsidR="00163EB1" w:rsidRDefault="003F0F42">
      <w:pPr>
        <w:spacing w:beforeLines="50" w:before="120" w:afterLines="50" w:after="120"/>
        <w:jc w:val="both"/>
        <w:rPr>
          <w:rFonts w:eastAsia="Calibri"/>
          <w:szCs w:val="20"/>
        </w:rPr>
      </w:pPr>
      <w:r>
        <w:rPr>
          <w:rFonts w:eastAsia="Calibri"/>
          <w:szCs w:val="20"/>
        </w:rPr>
        <w:t>At last meeting RAN2 has agreed that:</w:t>
      </w:r>
    </w:p>
    <w:p w:rsidR="00163EB1" w:rsidRDefault="003F0F42">
      <w:pPr>
        <w:pStyle w:val="Doc-text2"/>
        <w:pBdr>
          <w:top w:val="single" w:sz="4" w:space="1" w:color="auto"/>
          <w:left w:val="single" w:sz="4" w:space="4" w:color="auto"/>
          <w:bottom w:val="single" w:sz="4" w:space="1" w:color="auto"/>
          <w:right w:val="single" w:sz="4" w:space="4" w:color="auto"/>
        </w:pBdr>
        <w:ind w:left="363"/>
      </w:pPr>
      <w:r>
        <w:t>Working assumption:</w:t>
      </w:r>
    </w:p>
    <w:p w:rsidR="00163EB1" w:rsidRDefault="003F0F42">
      <w:pPr>
        <w:pStyle w:val="Doc-text2"/>
        <w:pBdr>
          <w:top w:val="single" w:sz="4" w:space="1" w:color="auto"/>
          <w:left w:val="single" w:sz="4" w:space="4" w:color="auto"/>
          <w:bottom w:val="single" w:sz="4" w:space="1" w:color="auto"/>
          <w:right w:val="single" w:sz="4" w:space="4" w:color="auto"/>
        </w:pBdr>
        <w:ind w:left="363"/>
      </w:pPr>
      <w:r>
        <w:t>Upon T304 expiry for direct path addition/change, RRC reestablishment is always triggered w/o any condition.</w:t>
      </w:r>
    </w:p>
    <w:p w:rsidR="00163EB1" w:rsidRDefault="003F0F42">
      <w:pPr>
        <w:spacing w:beforeLines="50" w:before="120" w:afterLines="50" w:after="120"/>
        <w:jc w:val="both"/>
        <w:rPr>
          <w:rFonts w:eastAsia="Calibri"/>
          <w:szCs w:val="20"/>
        </w:rPr>
      </w:pPr>
      <w:r>
        <w:rPr>
          <w:rFonts w:eastAsia="Calibri"/>
          <w:szCs w:val="20"/>
        </w:rPr>
        <w:t xml:space="preserve">In legacy fast MCG link recovery, reporting MCG failure is only supported for MCG </w:t>
      </w:r>
      <w:proofErr w:type="spellStart"/>
      <w:r>
        <w:rPr>
          <w:rFonts w:eastAsia="Calibri"/>
          <w:szCs w:val="20"/>
        </w:rPr>
        <w:t>Uu</w:t>
      </w:r>
      <w:proofErr w:type="spellEnd"/>
      <w:r>
        <w:rPr>
          <w:rFonts w:eastAsia="Calibri"/>
          <w:szCs w:val="20"/>
        </w:rPr>
        <w:t xml:space="preserve"> RLF case, but not support for MCG reconfiguration failure cases including T304 expiry</w:t>
      </w:r>
      <w:r>
        <w:rPr>
          <w:rFonts w:eastAsia="Calibri" w:hint="eastAsia"/>
          <w:szCs w:val="20"/>
        </w:rPr>
        <w:t xml:space="preserve"> as </w:t>
      </w:r>
      <w:r>
        <w:rPr>
          <w:rFonts w:eastAsia="Calibri"/>
          <w:szCs w:val="20"/>
        </w:rPr>
        <w:t xml:space="preserve">a failure type. </w:t>
      </w:r>
      <w:r>
        <w:rPr>
          <w:rFonts w:eastAsia="Calibri" w:hint="eastAsia"/>
          <w:szCs w:val="20"/>
        </w:rPr>
        <w:t xml:space="preserve">For </w:t>
      </w:r>
      <w:proofErr w:type="spellStart"/>
      <w:r>
        <w:rPr>
          <w:rFonts w:eastAsia="Calibri" w:hint="eastAsia"/>
          <w:szCs w:val="20"/>
        </w:rPr>
        <w:t>Pcell</w:t>
      </w:r>
      <w:proofErr w:type="spellEnd"/>
      <w:r>
        <w:rPr>
          <w:rFonts w:eastAsia="Calibri" w:hint="eastAsia"/>
          <w:szCs w:val="20"/>
        </w:rPr>
        <w:t xml:space="preserve"> change failure t</w:t>
      </w:r>
      <w:r>
        <w:rPr>
          <w:rFonts w:eastAsia="Calibri"/>
          <w:szCs w:val="20"/>
        </w:rPr>
        <w:t xml:space="preserve">here is only one action upon </w:t>
      </w:r>
      <w:proofErr w:type="spellStart"/>
      <w:r>
        <w:rPr>
          <w:rFonts w:eastAsia="Calibri"/>
          <w:szCs w:val="20"/>
        </w:rPr>
        <w:t>Pcell</w:t>
      </w:r>
      <w:proofErr w:type="spellEnd"/>
      <w:r>
        <w:rPr>
          <w:rFonts w:eastAsia="Calibri"/>
          <w:szCs w:val="20"/>
        </w:rPr>
        <w:t xml:space="preserve"> change failure in legacy behavior, which is RRC reestablishment, even in case of MR-DC. We think the same principle can apply to multi-path operation, in case of direct path addition/change at the T304 expiry</w:t>
      </w:r>
      <w:r>
        <w:rPr>
          <w:rFonts w:eastAsia="Calibri" w:hint="eastAsia"/>
          <w:szCs w:val="20"/>
        </w:rPr>
        <w:t xml:space="preserve">. </w:t>
      </w:r>
      <w:r>
        <w:rPr>
          <w:rFonts w:eastAsia="Calibri"/>
          <w:szCs w:val="20"/>
        </w:rPr>
        <w:t>Thus, a</w:t>
      </w:r>
      <w:r>
        <w:rPr>
          <w:rFonts w:eastAsia="Calibri" w:hint="eastAsia"/>
          <w:szCs w:val="20"/>
        </w:rPr>
        <w:t xml:space="preserve">t </w:t>
      </w:r>
      <w:r>
        <w:rPr>
          <w:rFonts w:eastAsia="Calibri"/>
          <w:szCs w:val="20"/>
        </w:rPr>
        <w:t>T304 expiry</w:t>
      </w:r>
      <w:r>
        <w:rPr>
          <w:rFonts w:eastAsia="Calibri" w:hint="eastAsia"/>
          <w:szCs w:val="20"/>
        </w:rPr>
        <w:t xml:space="preserve"> UE F</w:t>
      </w:r>
      <w:r>
        <w:rPr>
          <w:rFonts w:eastAsia="Calibri"/>
          <w:szCs w:val="20"/>
        </w:rPr>
        <w:t>all</w:t>
      </w:r>
      <w:r>
        <w:rPr>
          <w:rFonts w:eastAsia="Calibri" w:hint="eastAsia"/>
          <w:szCs w:val="20"/>
        </w:rPr>
        <w:t>s</w:t>
      </w:r>
      <w:r>
        <w:rPr>
          <w:rFonts w:eastAsia="Calibri"/>
          <w:szCs w:val="20"/>
        </w:rPr>
        <w:t xml:space="preserve"> back to the configuration used </w:t>
      </w:r>
      <w:r>
        <w:rPr>
          <w:rFonts w:eastAsia="Calibri" w:hint="eastAsia"/>
          <w:szCs w:val="20"/>
        </w:rPr>
        <w:t>before</w:t>
      </w:r>
      <w:r>
        <w:rPr>
          <w:rFonts w:eastAsia="Calibri"/>
          <w:szCs w:val="20"/>
        </w:rPr>
        <w:t xml:space="preserve"> </w:t>
      </w:r>
      <w:proofErr w:type="spellStart"/>
      <w:r>
        <w:rPr>
          <w:rFonts w:eastAsia="Calibri"/>
          <w:szCs w:val="20"/>
        </w:rPr>
        <w:t>Pcell</w:t>
      </w:r>
      <w:proofErr w:type="spellEnd"/>
      <w:r>
        <w:rPr>
          <w:rFonts w:eastAsia="Calibri"/>
          <w:szCs w:val="20"/>
        </w:rPr>
        <w:t xml:space="preserve"> </w:t>
      </w:r>
      <w:r>
        <w:rPr>
          <w:rFonts w:eastAsia="Calibri" w:hint="eastAsia"/>
          <w:szCs w:val="20"/>
        </w:rPr>
        <w:t>addition/change,</w:t>
      </w:r>
      <w:r>
        <w:rPr>
          <w:rFonts w:eastAsia="Calibri"/>
          <w:szCs w:val="20"/>
        </w:rPr>
        <w:t xml:space="preserve"> and initiates RRC reestablishment</w:t>
      </w:r>
      <w:r>
        <w:rPr>
          <w:rFonts w:eastAsia="Calibri" w:hint="eastAsia"/>
          <w:szCs w:val="20"/>
        </w:rPr>
        <w:t xml:space="preserve"> </w:t>
      </w:r>
      <w:r>
        <w:rPr>
          <w:rFonts w:eastAsia="Calibri"/>
          <w:szCs w:val="20"/>
        </w:rPr>
        <w:t>instead of performing multi-path fast recovery procedure</w:t>
      </w:r>
      <w:r>
        <w:rPr>
          <w:rFonts w:eastAsia="Calibri" w:hint="eastAsia"/>
          <w:szCs w:val="20"/>
        </w:rPr>
        <w:t xml:space="preserve">. </w:t>
      </w:r>
    </w:p>
    <w:p w:rsidR="00163EB1" w:rsidRDefault="003F0F42">
      <w:pPr>
        <w:spacing w:beforeLines="50" w:before="120" w:afterLines="50" w:after="120"/>
        <w:jc w:val="both"/>
        <w:rPr>
          <w:rFonts w:eastAsia="Calibri"/>
          <w:szCs w:val="20"/>
        </w:rPr>
      </w:pPr>
      <w:r>
        <w:rPr>
          <w:rFonts w:eastAsia="Calibri"/>
          <w:szCs w:val="20"/>
        </w:rPr>
        <w:t>Moreover,</w:t>
      </w:r>
      <w:r>
        <w:rPr>
          <w:rFonts w:eastAsia="Calibri" w:hint="eastAsia"/>
          <w:szCs w:val="20"/>
        </w:rPr>
        <w:t xml:space="preserve"> </w:t>
      </w:r>
      <w:r>
        <w:rPr>
          <w:rFonts w:eastAsia="Calibri"/>
          <w:szCs w:val="20"/>
        </w:rPr>
        <w:t>on whether to report the</w:t>
      </w:r>
      <w:r>
        <w:rPr>
          <w:rFonts w:eastAsia="Calibri" w:hint="eastAsia"/>
          <w:szCs w:val="20"/>
        </w:rPr>
        <w:t xml:space="preserve"> direct path addition/change failure </w:t>
      </w:r>
      <w:r>
        <w:rPr>
          <w:rFonts w:eastAsia="Calibri"/>
          <w:szCs w:val="20"/>
        </w:rPr>
        <w:t xml:space="preserve">due </w:t>
      </w:r>
      <w:r>
        <w:rPr>
          <w:rFonts w:eastAsia="Calibri" w:hint="eastAsia"/>
          <w:szCs w:val="20"/>
        </w:rPr>
        <w:t>to</w:t>
      </w:r>
      <w:r>
        <w:rPr>
          <w:rFonts w:eastAsia="Calibri"/>
          <w:szCs w:val="20"/>
        </w:rPr>
        <w:t xml:space="preserve"> T304 expiry, we think, the UE and the NW have aligned understanding on whether T304 running or not, thus there is also no need to do </w:t>
      </w:r>
      <w:r>
        <w:rPr>
          <w:rFonts w:eastAsia="Calibri" w:hint="eastAsia"/>
          <w:szCs w:val="20"/>
        </w:rPr>
        <w:t>the direct path addition/change failure report</w:t>
      </w:r>
      <w:r>
        <w:rPr>
          <w:rFonts w:eastAsia="Calibri"/>
          <w:szCs w:val="20"/>
        </w:rPr>
        <w:t xml:space="preserve">ing due </w:t>
      </w:r>
      <w:r>
        <w:rPr>
          <w:rFonts w:eastAsia="Calibri" w:hint="eastAsia"/>
          <w:szCs w:val="20"/>
        </w:rPr>
        <w:t>to</w:t>
      </w:r>
      <w:r>
        <w:rPr>
          <w:rFonts w:eastAsia="Calibri"/>
          <w:szCs w:val="20"/>
        </w:rPr>
        <w:t xml:space="preserve"> T304 expiry</w:t>
      </w:r>
      <w:r>
        <w:rPr>
          <w:rFonts w:eastAsia="Calibri" w:hint="eastAsia"/>
          <w:szCs w:val="20"/>
        </w:rPr>
        <w:t xml:space="preserve">. </w:t>
      </w:r>
      <w:r>
        <w:rPr>
          <w:rFonts w:eastAsia="Calibri"/>
          <w:szCs w:val="20"/>
        </w:rPr>
        <w:t xml:space="preserve">Therefore, no additional </w:t>
      </w:r>
      <w:r>
        <w:rPr>
          <w:rFonts w:eastAsia="Calibri" w:hint="eastAsia"/>
          <w:szCs w:val="20"/>
        </w:rPr>
        <w:t>condition is necessary</w:t>
      </w:r>
      <w:r>
        <w:rPr>
          <w:rFonts w:eastAsia="Calibri"/>
          <w:szCs w:val="20"/>
        </w:rPr>
        <w:t xml:space="preserve"> for triggering </w:t>
      </w:r>
      <w:r>
        <w:t>RRC reestablishment upon T304 expiry for direct path addition/change</w:t>
      </w:r>
      <w:r>
        <w:rPr>
          <w:rFonts w:eastAsia="Calibri" w:hint="eastAsia"/>
          <w:szCs w:val="20"/>
        </w:rPr>
        <w:t>.</w:t>
      </w:r>
      <w:r>
        <w:rPr>
          <w:rFonts w:eastAsia="Calibri"/>
          <w:szCs w:val="20"/>
        </w:rPr>
        <w:t xml:space="preserve"> Therefore,</w:t>
      </w:r>
    </w:p>
    <w:p w:rsidR="00163EB1" w:rsidRDefault="003F0F42">
      <w:pPr>
        <w:pStyle w:val="Proposal"/>
        <w:numPr>
          <w:ilvl w:val="0"/>
          <w:numId w:val="8"/>
        </w:numPr>
        <w:tabs>
          <w:tab w:val="clear" w:pos="1304"/>
        </w:tabs>
        <w:ind w:left="1701" w:hanging="1701"/>
        <w:rPr>
          <w:rFonts w:ascii="Times New Roman" w:hAnsi="Times New Roman"/>
        </w:rPr>
      </w:pPr>
      <w:r>
        <w:rPr>
          <w:rFonts w:ascii="Times New Roman" w:hAnsi="Times New Roman"/>
        </w:rPr>
        <w:t>RAN2 confirm the WA on T304 expiry, i.e., upon T304 expiry for direct path addition/change, RRC reestablishment is always triggered w/o any condition.</w:t>
      </w:r>
    </w:p>
    <w:bookmarkEnd w:id="3"/>
    <w:bookmarkEnd w:id="4"/>
    <w:p w:rsidR="00163EB1" w:rsidRDefault="003F0F42">
      <w:pPr>
        <w:pStyle w:val="afb"/>
        <w:keepNext/>
        <w:numPr>
          <w:ilvl w:val="1"/>
          <w:numId w:val="6"/>
        </w:numPr>
        <w:tabs>
          <w:tab w:val="left" w:pos="425"/>
        </w:tabs>
        <w:spacing w:before="180" w:after="180"/>
        <w:ind w:firstLineChars="0"/>
        <w:outlineLvl w:val="1"/>
        <w:rPr>
          <w:rFonts w:ascii="Arial" w:eastAsia="等线" w:hAnsi="Arial" w:cs="Arial"/>
          <w:iCs/>
          <w:sz w:val="32"/>
          <w:szCs w:val="32"/>
        </w:rPr>
      </w:pPr>
      <w:r>
        <w:rPr>
          <w:rFonts w:ascii="Arial" w:eastAsia="等线" w:hAnsi="Arial" w:cs="Arial"/>
          <w:iCs/>
          <w:sz w:val="32"/>
          <w:szCs w:val="32"/>
        </w:rPr>
        <w:t>How to handle the PC5 unicast link</w:t>
      </w:r>
    </w:p>
    <w:p w:rsidR="00163EB1" w:rsidRDefault="003F0F42">
      <w:pPr>
        <w:spacing w:beforeLines="50" w:before="120" w:afterLines="50" w:after="120"/>
        <w:jc w:val="both"/>
        <w:rPr>
          <w:rFonts w:eastAsia="Calibri"/>
          <w:szCs w:val="20"/>
          <w:lang w:eastAsia="zh-CN"/>
        </w:rPr>
      </w:pPr>
      <w:r>
        <w:rPr>
          <w:rFonts w:eastAsia="Calibri"/>
          <w:szCs w:val="20"/>
          <w:lang w:eastAsia="zh-CN"/>
        </w:rPr>
        <w:t>There is an issue related to the PC5 unicast link handling, see Issue#2-1 as below:</w:t>
      </w:r>
    </w:p>
    <w:tbl>
      <w:tblPr>
        <w:tblStyle w:val="af6"/>
        <w:tblW w:w="5000" w:type="pct"/>
        <w:tblLook w:val="04A0" w:firstRow="1" w:lastRow="0" w:firstColumn="1" w:lastColumn="0" w:noHBand="0" w:noVBand="1"/>
      </w:tblPr>
      <w:tblGrid>
        <w:gridCol w:w="3697"/>
        <w:gridCol w:w="2714"/>
        <w:gridCol w:w="2649"/>
      </w:tblGrid>
      <w:tr w:rsidR="00163EB1">
        <w:tc>
          <w:tcPr>
            <w:tcW w:w="2040" w:type="pct"/>
          </w:tcPr>
          <w:p w:rsidR="00163EB1" w:rsidRDefault="003F0F42">
            <w:r>
              <w:t xml:space="preserve">Issue#2-1 Whether the PC5 unicast link can be maintained during </w:t>
            </w:r>
            <w:r>
              <w:rPr>
                <w:b/>
              </w:rPr>
              <w:t>direct path addition/release</w:t>
            </w:r>
            <w:r>
              <w:t xml:space="preserve"> and </w:t>
            </w:r>
            <w:r>
              <w:rPr>
                <w:b/>
              </w:rPr>
              <w:t>direct path change without indirect path change</w:t>
            </w:r>
            <w:r>
              <w:t xml:space="preserve"> procedures. (Scenario 1 only)</w:t>
            </w:r>
          </w:p>
        </w:tc>
        <w:tc>
          <w:tcPr>
            <w:tcW w:w="1498" w:type="pct"/>
          </w:tcPr>
          <w:p w:rsidR="00163EB1" w:rsidRDefault="003F0F42">
            <w:r>
              <w:t>The issue is going to impact UE behaviors in RRC spec, but has not been discussed yet.</w:t>
            </w:r>
          </w:p>
        </w:tc>
        <w:tc>
          <w:tcPr>
            <w:tcW w:w="1463" w:type="pct"/>
          </w:tcPr>
          <w:p w:rsidR="00163EB1" w:rsidRDefault="003F0F42">
            <w:r>
              <w:t>To be discussed in next meeting.</w:t>
            </w:r>
          </w:p>
        </w:tc>
      </w:tr>
    </w:tbl>
    <w:p w:rsidR="00163EB1" w:rsidRDefault="003F0F42">
      <w:pPr>
        <w:spacing w:beforeLines="50" w:before="120" w:afterLines="50" w:after="120"/>
        <w:jc w:val="both"/>
        <w:rPr>
          <w:rFonts w:eastAsia="Calibri"/>
          <w:szCs w:val="20"/>
        </w:rPr>
      </w:pPr>
      <w:r>
        <w:rPr>
          <w:rFonts w:eastAsia="Calibri"/>
          <w:szCs w:val="20"/>
        </w:rPr>
        <w:t xml:space="preserve">According to the Rapporteur’s comment before, the issue mainly occurs when security update is needed for remote UE during direct path addition/release and direct path change without indirect path change procedures. For UL data transmission case, remote UE’s data with old key buffered at the relay UE would be continued to transmit to the </w:t>
      </w:r>
      <w:proofErr w:type="spellStart"/>
      <w:r>
        <w:rPr>
          <w:rFonts w:eastAsia="Calibri"/>
          <w:szCs w:val="20"/>
        </w:rPr>
        <w:t>gNB</w:t>
      </w:r>
      <w:proofErr w:type="spellEnd"/>
      <w:r>
        <w:rPr>
          <w:rFonts w:eastAsia="Calibri"/>
          <w:szCs w:val="20"/>
        </w:rPr>
        <w:t xml:space="preserve"> if the PC5 link is maintained in case of security update. For DL data reception case, remote UE’s data with old key buffered at the relay UE would be continued to transmit to the Remote UE if the PC5 link is maintained in case of security update. </w:t>
      </w:r>
      <w:r>
        <w:rPr>
          <w:rFonts w:eastAsia="Calibri" w:hint="eastAsia"/>
          <w:szCs w:val="20"/>
        </w:rPr>
        <w:t>Then, how to properly handle the buffered data with old key at the relay UE side needs to be considered</w:t>
      </w:r>
      <w:r>
        <w:rPr>
          <w:rFonts w:eastAsia="Calibri"/>
          <w:szCs w:val="20"/>
        </w:rPr>
        <w:t xml:space="preserve"> during the corresponding procedure.</w:t>
      </w:r>
      <w:r>
        <w:rPr>
          <w:rFonts w:eastAsia="Calibri" w:hint="eastAsia"/>
          <w:szCs w:val="20"/>
        </w:rPr>
        <w:t xml:space="preserve"> </w:t>
      </w:r>
      <w:r>
        <w:rPr>
          <w:rFonts w:eastAsia="Calibri"/>
          <w:szCs w:val="20"/>
        </w:rPr>
        <w:t xml:space="preserve">In our understanding, such cases can be well handled by the NW </w:t>
      </w:r>
      <w:r>
        <w:t>implementation</w:t>
      </w:r>
      <w:r>
        <w:rPr>
          <w:rFonts w:eastAsia="Calibri"/>
          <w:szCs w:val="20"/>
        </w:rPr>
        <w:t xml:space="preserve"> e.g., make sure that the remote UE’s data with old key buffered at the relay UE is completed or cleared before triggering the direct path addition/release and direct path change without indirect path change procedures for remote UE.</w:t>
      </w:r>
    </w:p>
    <w:p w:rsidR="00163EB1" w:rsidRDefault="003F0F42">
      <w:pPr>
        <w:pStyle w:val="Proposal"/>
        <w:numPr>
          <w:ilvl w:val="0"/>
          <w:numId w:val="8"/>
        </w:numPr>
        <w:tabs>
          <w:tab w:val="clear" w:pos="1304"/>
        </w:tabs>
        <w:ind w:left="1701" w:hanging="1701"/>
        <w:rPr>
          <w:rFonts w:ascii="Times New Roman" w:hAnsi="Times New Roman"/>
        </w:rPr>
      </w:pPr>
      <w:r>
        <w:rPr>
          <w:rFonts w:ascii="Times New Roman" w:hAnsi="Times New Roman"/>
        </w:rPr>
        <w:lastRenderedPageBreak/>
        <w:t>The PC5 unicast link is maintained during direct path addition/release and direct path change without indirect path change procedures.</w:t>
      </w:r>
    </w:p>
    <w:p w:rsidR="00163EB1" w:rsidRDefault="003F0F42">
      <w:pPr>
        <w:pStyle w:val="afb"/>
        <w:keepNext/>
        <w:numPr>
          <w:ilvl w:val="1"/>
          <w:numId w:val="6"/>
        </w:numPr>
        <w:tabs>
          <w:tab w:val="left" w:pos="425"/>
        </w:tabs>
        <w:spacing w:before="180" w:after="180"/>
        <w:ind w:firstLineChars="0"/>
        <w:outlineLvl w:val="1"/>
        <w:rPr>
          <w:rFonts w:ascii="Arial" w:eastAsia="等线" w:hAnsi="Arial" w:cs="Arial"/>
          <w:iCs/>
          <w:sz w:val="32"/>
          <w:szCs w:val="32"/>
        </w:rPr>
      </w:pPr>
      <w:r>
        <w:rPr>
          <w:rFonts w:ascii="Arial" w:eastAsia="等线" w:hAnsi="Arial" w:cs="Arial"/>
          <w:iCs/>
          <w:sz w:val="32"/>
          <w:szCs w:val="32"/>
        </w:rPr>
        <w:t xml:space="preserve">How to handle </w:t>
      </w:r>
      <w:proofErr w:type="spellStart"/>
      <w:r>
        <w:rPr>
          <w:rFonts w:ascii="Arial" w:eastAsia="等线" w:hAnsi="Arial" w:cs="Arial"/>
          <w:iCs/>
          <w:sz w:val="32"/>
          <w:szCs w:val="32"/>
        </w:rPr>
        <w:t>relayUE</w:t>
      </w:r>
      <w:proofErr w:type="spellEnd"/>
      <w:r>
        <w:rPr>
          <w:rFonts w:ascii="Arial" w:eastAsia="等线" w:hAnsi="Arial" w:cs="Arial"/>
          <w:iCs/>
          <w:sz w:val="32"/>
          <w:szCs w:val="32"/>
        </w:rPr>
        <w:t>-HO</w:t>
      </w:r>
    </w:p>
    <w:p w:rsidR="00163EB1" w:rsidRDefault="003F0F42">
      <w:pPr>
        <w:spacing w:beforeLines="50" w:before="120" w:afterLines="50" w:after="120"/>
        <w:jc w:val="both"/>
        <w:rPr>
          <w:rFonts w:eastAsia="Calibri"/>
          <w:szCs w:val="20"/>
          <w:lang w:eastAsia="zh-CN"/>
        </w:rPr>
      </w:pPr>
      <w:r>
        <w:rPr>
          <w:rFonts w:eastAsia="Calibri"/>
          <w:szCs w:val="20"/>
          <w:lang w:eastAsia="zh-CN"/>
        </w:rPr>
        <w:t>This issue corresponds to the RRC open issue #2-7 as summarized below:</w:t>
      </w:r>
    </w:p>
    <w:tbl>
      <w:tblPr>
        <w:tblStyle w:val="af6"/>
        <w:tblW w:w="5000" w:type="pct"/>
        <w:tblLook w:val="04A0" w:firstRow="1" w:lastRow="0" w:firstColumn="1" w:lastColumn="0" w:noHBand="0" w:noVBand="1"/>
      </w:tblPr>
      <w:tblGrid>
        <w:gridCol w:w="3697"/>
        <w:gridCol w:w="2714"/>
        <w:gridCol w:w="2649"/>
      </w:tblGrid>
      <w:tr w:rsidR="00163EB1">
        <w:tc>
          <w:tcPr>
            <w:tcW w:w="2040" w:type="pct"/>
          </w:tcPr>
          <w:p w:rsidR="00163EB1" w:rsidRDefault="003F0F42">
            <w:r>
              <w:t xml:space="preserve">Issue#2-7. To address the Editor’s Note: FFS how to handle </w:t>
            </w:r>
            <w:proofErr w:type="spellStart"/>
            <w:r>
              <w:t>relayUE</w:t>
            </w:r>
            <w:proofErr w:type="spellEnd"/>
            <w:r>
              <w:t>-HO. (Scenario 1 only)</w:t>
            </w:r>
          </w:p>
        </w:tc>
        <w:tc>
          <w:tcPr>
            <w:tcW w:w="1498" w:type="pct"/>
          </w:tcPr>
          <w:p w:rsidR="00163EB1" w:rsidRDefault="003F0F42">
            <w:r>
              <w:t>The issue has been discussed in previous meeting, but no consensus was achieved. The options on table include:</w:t>
            </w:r>
          </w:p>
          <w:p w:rsidR="00163EB1" w:rsidRDefault="003F0F42">
            <w:r>
              <w:t>Option 1: NW ensures that before relay UE’s HO, the indirect path is released at remote UE.</w:t>
            </w:r>
          </w:p>
          <w:p w:rsidR="00163EB1" w:rsidRDefault="003F0F42">
            <w:r>
              <w:t xml:space="preserve">Option 2: relay UE indicates </w:t>
            </w:r>
            <w:proofErr w:type="spellStart"/>
            <w:r>
              <w:t>Uu</w:t>
            </w:r>
            <w:proofErr w:type="spellEnd"/>
            <w:r>
              <w:t xml:space="preserve"> HO in notification message to remote UE in Rel-17 way, and remote UE can suspend indirect path and wait for NW reconfiguration.</w:t>
            </w:r>
          </w:p>
        </w:tc>
        <w:tc>
          <w:tcPr>
            <w:tcW w:w="1463" w:type="pct"/>
          </w:tcPr>
          <w:p w:rsidR="00163EB1" w:rsidRDefault="003F0F42">
            <w:r>
              <w:t>To be discussed in next meeting.</w:t>
            </w:r>
          </w:p>
        </w:tc>
      </w:tr>
    </w:tbl>
    <w:p w:rsidR="00163EB1" w:rsidRDefault="00163EB1">
      <w:pPr>
        <w:spacing w:beforeLines="50" w:before="120"/>
        <w:jc w:val="both"/>
        <w:rPr>
          <w:rFonts w:eastAsiaTheme="minorEastAsia"/>
          <w:szCs w:val="20"/>
          <w:lang w:eastAsia="zh-CN"/>
        </w:rPr>
      </w:pPr>
    </w:p>
    <w:p w:rsidR="00163EB1" w:rsidRDefault="003F0F42">
      <w:pPr>
        <w:spacing w:beforeLines="50" w:before="120"/>
        <w:jc w:val="both"/>
        <w:rPr>
          <w:rFonts w:eastAsia="等线"/>
          <w:lang w:eastAsia="zh-CN"/>
        </w:rPr>
      </w:pPr>
      <w:r>
        <w:rPr>
          <w:rFonts w:eastAsia="等线" w:hint="eastAsia"/>
        </w:rPr>
        <w:t>I</w:t>
      </w:r>
      <w:r>
        <w:rPr>
          <w:rFonts w:eastAsia="等线"/>
        </w:rPr>
        <w:t>n our understanding, the above two options are not mutually exclusive. They can usually be used together. Our consideration on how to handle this notification issue for relay UE handover is explained as follows:</w:t>
      </w:r>
    </w:p>
    <w:p w:rsidR="00163EB1" w:rsidRDefault="003F0F42">
      <w:pPr>
        <w:pStyle w:val="ListParagraph1"/>
        <w:numPr>
          <w:ilvl w:val="0"/>
          <w:numId w:val="9"/>
        </w:numPr>
        <w:spacing w:beforeLines="50" w:before="120"/>
        <w:ind w:firstLineChars="0"/>
        <w:rPr>
          <w:rFonts w:ascii="Times New Roman" w:eastAsia="等线" w:hAnsi="Times New Roman"/>
          <w:sz w:val="20"/>
          <w:szCs w:val="20"/>
        </w:rPr>
      </w:pPr>
      <w:r>
        <w:rPr>
          <w:rFonts w:ascii="Times New Roman" w:eastAsia="等线" w:hAnsi="Times New Roman"/>
          <w:sz w:val="20"/>
          <w:szCs w:val="20"/>
        </w:rPr>
        <w:t xml:space="preserve">In network side, </w:t>
      </w:r>
      <w:r>
        <w:rPr>
          <w:rFonts w:ascii="Times New Roman" w:eastAsia="等线" w:hAnsi="Times New Roman"/>
          <w:b/>
          <w:sz w:val="20"/>
          <w:szCs w:val="20"/>
        </w:rPr>
        <w:t>Option 1</w:t>
      </w:r>
      <w:r>
        <w:rPr>
          <w:rFonts w:ascii="Times New Roman" w:eastAsia="等线" w:hAnsi="Times New Roman"/>
          <w:sz w:val="20"/>
          <w:szCs w:val="20"/>
        </w:rPr>
        <w:t xml:space="preserve"> can be used i.e., smart network implementation can guarantee that indirect path has been released in a remote UE before its relay UE performs handover procedure. For example, when serving </w:t>
      </w:r>
      <w:proofErr w:type="spellStart"/>
      <w:r>
        <w:rPr>
          <w:rFonts w:ascii="Times New Roman" w:eastAsia="等线" w:hAnsi="Times New Roman"/>
          <w:sz w:val="20"/>
          <w:szCs w:val="20"/>
        </w:rPr>
        <w:t>gNB</w:t>
      </w:r>
      <w:proofErr w:type="spellEnd"/>
      <w:r>
        <w:rPr>
          <w:rFonts w:ascii="Times New Roman" w:eastAsia="等线" w:hAnsi="Times New Roman"/>
          <w:sz w:val="20"/>
          <w:szCs w:val="20"/>
        </w:rPr>
        <w:t xml:space="preserve"> decides to hand over a relay UE, it should firstly complete the release procedure(s) of indirect path related to this relay UE for each of related remote UE. After reception of reconfiguration complete message for indirect path release from each remote UE, handover signaling is sent to the relay UE. In this way, each remote UE does not need to handle with relay UE handover case. However, this delayed handover processing may bring the risk of handover failure to the relay UE. </w:t>
      </w:r>
    </w:p>
    <w:p w:rsidR="00163EB1" w:rsidRDefault="003F0F42">
      <w:pPr>
        <w:pStyle w:val="ListParagraph1"/>
        <w:numPr>
          <w:ilvl w:val="0"/>
          <w:numId w:val="10"/>
        </w:numPr>
        <w:spacing w:beforeLines="50" w:before="120" w:afterLines="50" w:after="120"/>
        <w:ind w:firstLineChars="0"/>
        <w:rPr>
          <w:rFonts w:ascii="Times New Roman" w:eastAsia="等线" w:hAnsi="Times New Roman"/>
          <w:sz w:val="20"/>
          <w:szCs w:val="20"/>
        </w:rPr>
      </w:pPr>
      <w:r>
        <w:rPr>
          <w:rFonts w:ascii="Times New Roman" w:eastAsia="等线" w:hAnsi="Times New Roman"/>
          <w:sz w:val="20"/>
          <w:szCs w:val="20"/>
        </w:rPr>
        <w:t xml:space="preserve">In remote UE side, </w:t>
      </w:r>
      <w:r>
        <w:rPr>
          <w:rFonts w:ascii="Times New Roman" w:eastAsia="等线" w:hAnsi="Times New Roman"/>
          <w:b/>
          <w:sz w:val="20"/>
          <w:szCs w:val="20"/>
        </w:rPr>
        <w:t>Option 2</w:t>
      </w:r>
      <w:r>
        <w:rPr>
          <w:rFonts w:ascii="Times New Roman" w:eastAsia="等线" w:hAnsi="Times New Roman"/>
          <w:sz w:val="20"/>
          <w:szCs w:val="20"/>
        </w:rPr>
        <w:t xml:space="preserve"> can be used i.e., if it receives the legacy PC5 HO notification from relay UE, it can suspend the indirect path and wait for </w:t>
      </w:r>
      <w:proofErr w:type="spellStart"/>
      <w:r>
        <w:rPr>
          <w:rFonts w:ascii="Times New Roman" w:eastAsia="等线" w:hAnsi="Times New Roman"/>
          <w:sz w:val="20"/>
          <w:szCs w:val="20"/>
        </w:rPr>
        <w:t>gNB</w:t>
      </w:r>
      <w:proofErr w:type="spellEnd"/>
      <w:r>
        <w:rPr>
          <w:rFonts w:ascii="Times New Roman" w:eastAsia="等线" w:hAnsi="Times New Roman"/>
          <w:sz w:val="20"/>
          <w:szCs w:val="20"/>
        </w:rPr>
        <w:t xml:space="preserve"> releasing this indirect path related to the HO relay UE, which assumes that SRB1 is still available, e.g. the primary path of split SRB1 or the only path of SRB1 always on direct path. If SRB1 is not available upon suspending indirect path, remote UE will trigger RRC re-establishment as legacy.</w:t>
      </w:r>
    </w:p>
    <w:p w:rsidR="00163EB1" w:rsidRDefault="003F0F42">
      <w:pPr>
        <w:pStyle w:val="Proposal"/>
        <w:numPr>
          <w:ilvl w:val="0"/>
          <w:numId w:val="8"/>
        </w:numPr>
        <w:tabs>
          <w:tab w:val="clear" w:pos="1304"/>
        </w:tabs>
        <w:ind w:left="1701" w:hanging="1701"/>
        <w:rPr>
          <w:rFonts w:ascii="Times New Roman" w:hAnsi="Times New Roman"/>
        </w:rPr>
      </w:pPr>
      <w:r>
        <w:rPr>
          <w:rFonts w:ascii="Times New Roman" w:hAnsi="Times New Roman"/>
        </w:rPr>
        <w:t>It is left to network implementation to guarantee release indirect path from a Remote UE before its relay UE performs handover procedure.</w:t>
      </w:r>
    </w:p>
    <w:p w:rsidR="00163EB1" w:rsidRDefault="003F0F42">
      <w:pPr>
        <w:pStyle w:val="Proposal"/>
        <w:numPr>
          <w:ilvl w:val="0"/>
          <w:numId w:val="8"/>
        </w:numPr>
        <w:tabs>
          <w:tab w:val="clear" w:pos="1304"/>
        </w:tabs>
        <w:ind w:left="1701" w:hanging="1701"/>
        <w:rPr>
          <w:rFonts w:ascii="Times New Roman" w:hAnsi="Times New Roman"/>
        </w:rPr>
      </w:pPr>
      <w:r>
        <w:rPr>
          <w:rFonts w:ascii="Times New Roman" w:hAnsi="Times New Roman"/>
        </w:rPr>
        <w:t>From the perspective of Remote UE, it will suspend the related indirect path upon reception of Relay UE’s handover notification if its E2E SRB1 is still available. Otherwise (SRB1 not available), remote UE triggers RRC re-establishment.</w:t>
      </w:r>
    </w:p>
    <w:p w:rsidR="00163EB1" w:rsidRDefault="00163EB1">
      <w:pPr>
        <w:pStyle w:val="Proposal"/>
        <w:tabs>
          <w:tab w:val="clear" w:pos="1304"/>
          <w:tab w:val="left" w:pos="2024"/>
        </w:tabs>
        <w:rPr>
          <w:rFonts w:eastAsiaTheme="minorEastAsia"/>
        </w:rPr>
      </w:pPr>
    </w:p>
    <w:p w:rsidR="00163EB1" w:rsidRDefault="003F0F4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hint="eastAsia"/>
          <w:b w:val="0"/>
          <w:bCs w:val="0"/>
          <w:kern w:val="0"/>
          <w:sz w:val="36"/>
          <w:szCs w:val="20"/>
          <w:lang w:val="en-GB" w:eastAsia="ja-JP"/>
        </w:rPr>
        <w:t>Conclusion</w:t>
      </w:r>
      <w:r>
        <w:rPr>
          <w:rFonts w:eastAsia="MS Mincho" w:cs="Times New Roman"/>
          <w:b w:val="0"/>
          <w:bCs w:val="0"/>
          <w:kern w:val="0"/>
          <w:sz w:val="36"/>
          <w:szCs w:val="20"/>
          <w:lang w:val="en-GB" w:eastAsia="ja-JP"/>
        </w:rPr>
        <w:t xml:space="preserve"> </w:t>
      </w:r>
    </w:p>
    <w:bookmarkEnd w:id="0"/>
    <w:bookmarkEnd w:id="1"/>
    <w:p w:rsidR="00163EB1" w:rsidRDefault="003F0F42">
      <w:pPr>
        <w:pStyle w:val="a0"/>
        <w:rPr>
          <w:rFonts w:eastAsia="宋体"/>
          <w:b/>
          <w:lang w:val="en-GB" w:eastAsia="zh-CN"/>
        </w:rPr>
      </w:pPr>
      <w:r>
        <w:rPr>
          <w:rFonts w:eastAsia="宋体"/>
          <w:lang w:val="en-GB" w:eastAsia="zh-CN"/>
        </w:rPr>
        <w:t xml:space="preserve">In this paper, </w:t>
      </w:r>
      <w:r>
        <w:rPr>
          <w:szCs w:val="20"/>
        </w:rPr>
        <w:t xml:space="preserve">we further discuss the remaining issues for multi-path and </w:t>
      </w:r>
      <w:r>
        <w:rPr>
          <w:rFonts w:eastAsia="宋体"/>
          <w:lang w:val="en-GB" w:eastAsia="zh-CN"/>
        </w:rPr>
        <w:t>the following proposals are given:</w:t>
      </w:r>
    </w:p>
    <w:p w:rsidR="00163EB1" w:rsidRDefault="003F0F42">
      <w:pPr>
        <w:pStyle w:val="Proposal"/>
        <w:tabs>
          <w:tab w:val="clear" w:pos="1304"/>
          <w:tab w:val="left" w:pos="1820"/>
        </w:tabs>
        <w:rPr>
          <w:rFonts w:ascii="Times New Roman" w:eastAsia="宋体" w:hAnsi="Times New Roman"/>
          <w:b w:val="0"/>
        </w:rPr>
      </w:pPr>
      <w:r>
        <w:rPr>
          <w:rFonts w:ascii="Times New Roman" w:eastAsia="宋体" w:hAnsi="Times New Roman"/>
          <w:b w:val="0"/>
        </w:rPr>
        <w:t>And</w:t>
      </w:r>
    </w:p>
    <w:p w:rsidR="00163EB1" w:rsidRDefault="003F0F42">
      <w:pPr>
        <w:pStyle w:val="Proposal"/>
        <w:numPr>
          <w:ilvl w:val="0"/>
          <w:numId w:val="11"/>
        </w:numPr>
        <w:tabs>
          <w:tab w:val="clear" w:pos="1304"/>
        </w:tabs>
        <w:ind w:left="1701" w:hanging="1701"/>
        <w:rPr>
          <w:rFonts w:ascii="Times New Roman" w:hAnsi="Times New Roman"/>
        </w:rPr>
      </w:pPr>
      <w:r>
        <w:rPr>
          <w:rFonts w:ascii="Times New Roman" w:hAnsi="Times New Roman"/>
        </w:rPr>
        <w:t xml:space="preserve">Option2, i.e., upon reception of </w:t>
      </w:r>
      <w:proofErr w:type="spellStart"/>
      <w:r>
        <w:rPr>
          <w:rFonts w:ascii="Times New Roman" w:hAnsi="Times New Roman"/>
          <w:i/>
          <w:iCs/>
        </w:rPr>
        <w:t>RRCReconfigurationCompleteSidelink</w:t>
      </w:r>
      <w:proofErr w:type="spellEnd"/>
      <w:r>
        <w:rPr>
          <w:rFonts w:ascii="Times New Roman" w:hAnsi="Times New Roman"/>
        </w:rPr>
        <w:t xml:space="preserve">, is considered as safe option for T420-like timer stop condition. </w:t>
      </w:r>
    </w:p>
    <w:p w:rsidR="00163EB1" w:rsidRDefault="003F0F42">
      <w:pPr>
        <w:pStyle w:val="Proposal"/>
        <w:numPr>
          <w:ilvl w:val="0"/>
          <w:numId w:val="11"/>
        </w:numPr>
        <w:tabs>
          <w:tab w:val="clear" w:pos="1304"/>
        </w:tabs>
        <w:ind w:left="1701" w:hanging="1701"/>
        <w:rPr>
          <w:rFonts w:ascii="Times New Roman" w:hAnsi="Times New Roman"/>
        </w:rPr>
      </w:pPr>
      <w:r>
        <w:rPr>
          <w:rFonts w:ascii="Times New Roman" w:hAnsi="Times New Roman"/>
        </w:rPr>
        <w:t>RAN2 confirm that the T420-like timer is not applicable to Scenario 2.</w:t>
      </w:r>
    </w:p>
    <w:p w:rsidR="00163EB1" w:rsidRDefault="003F0F42">
      <w:pPr>
        <w:pStyle w:val="Proposal"/>
        <w:numPr>
          <w:ilvl w:val="0"/>
          <w:numId w:val="11"/>
        </w:numPr>
        <w:tabs>
          <w:tab w:val="clear" w:pos="1304"/>
        </w:tabs>
        <w:ind w:left="1701" w:hanging="1701"/>
        <w:rPr>
          <w:rFonts w:ascii="Times New Roman" w:hAnsi="Times New Roman"/>
        </w:rPr>
      </w:pPr>
      <w:r>
        <w:rPr>
          <w:rFonts w:ascii="Times New Roman" w:hAnsi="Times New Roman"/>
        </w:rPr>
        <w:t>RAN2 confirm the WA on T304 expiry, i.e., upon T304 expiry for direct path addition/change, RRC reestablishment is always triggered w/o any condition.</w:t>
      </w:r>
    </w:p>
    <w:p w:rsidR="00163EB1" w:rsidRDefault="003F0F42">
      <w:pPr>
        <w:pStyle w:val="Proposal"/>
        <w:numPr>
          <w:ilvl w:val="0"/>
          <w:numId w:val="11"/>
        </w:numPr>
        <w:tabs>
          <w:tab w:val="clear" w:pos="1304"/>
        </w:tabs>
        <w:ind w:left="1701" w:hanging="1701"/>
        <w:rPr>
          <w:rFonts w:ascii="Times New Roman" w:hAnsi="Times New Roman"/>
        </w:rPr>
      </w:pPr>
      <w:r>
        <w:rPr>
          <w:rFonts w:ascii="Times New Roman" w:hAnsi="Times New Roman"/>
        </w:rPr>
        <w:t>The PC5 unicast link is maintained during direct path addition/release and direct path change without indirect path change procedures.</w:t>
      </w:r>
    </w:p>
    <w:p w:rsidR="00163EB1" w:rsidRDefault="003F0F42">
      <w:pPr>
        <w:pStyle w:val="Proposal"/>
        <w:numPr>
          <w:ilvl w:val="0"/>
          <w:numId w:val="11"/>
        </w:numPr>
        <w:tabs>
          <w:tab w:val="clear" w:pos="1304"/>
        </w:tabs>
        <w:ind w:left="1701" w:hanging="1701"/>
        <w:rPr>
          <w:rFonts w:ascii="Times New Roman" w:hAnsi="Times New Roman"/>
        </w:rPr>
      </w:pPr>
      <w:r>
        <w:rPr>
          <w:rFonts w:ascii="Times New Roman" w:hAnsi="Times New Roman"/>
        </w:rPr>
        <w:lastRenderedPageBreak/>
        <w:t>It is left to network implementation to guarantee release indirect path from a Remote UE before its relay UE performs handover procedure.</w:t>
      </w:r>
    </w:p>
    <w:p w:rsidR="00163EB1" w:rsidRDefault="003F0F42">
      <w:pPr>
        <w:pStyle w:val="Proposal"/>
        <w:numPr>
          <w:ilvl w:val="0"/>
          <w:numId w:val="11"/>
        </w:numPr>
        <w:tabs>
          <w:tab w:val="clear" w:pos="1304"/>
        </w:tabs>
        <w:ind w:left="1701" w:hanging="1701"/>
        <w:rPr>
          <w:rFonts w:ascii="Times New Roman" w:hAnsi="Times New Roman"/>
        </w:rPr>
      </w:pPr>
      <w:r>
        <w:rPr>
          <w:rFonts w:ascii="Times New Roman" w:hAnsi="Times New Roman"/>
        </w:rPr>
        <w:t>From the perspective of Remote UE, it will suspend the related indirect path upon reception of Relay UE’s handover notification if its E2E SRB1 is still available. Otherwise (SRB1 not available), remote UE triggers RRC re-establishment.</w:t>
      </w:r>
    </w:p>
    <w:p w:rsidR="00163EB1" w:rsidRDefault="003F0F42">
      <w:pPr>
        <w:pStyle w:val="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rsidR="00163EB1" w:rsidRDefault="003F0F42">
      <w:pPr>
        <w:numPr>
          <w:ilvl w:val="0"/>
          <w:numId w:val="12"/>
        </w:numPr>
        <w:rPr>
          <w:rFonts w:eastAsia="宋体"/>
          <w:color w:val="000000"/>
          <w:lang w:eastAsia="zh-CN"/>
        </w:rPr>
      </w:pPr>
      <w:r>
        <w:rPr>
          <w:rFonts w:eastAsia="宋体" w:hint="eastAsia"/>
          <w:color w:val="000000"/>
          <w:lang w:eastAsia="zh-CN"/>
        </w:rPr>
        <w:t>R</w:t>
      </w:r>
      <w:r>
        <w:rPr>
          <w:rFonts w:eastAsia="宋体"/>
          <w:color w:val="000000"/>
          <w:lang w:eastAsia="zh-CN"/>
        </w:rPr>
        <w:t>AN2#123bis, Chairman’s Minutes.</w:t>
      </w:r>
    </w:p>
    <w:p w:rsidR="00163EB1" w:rsidRDefault="003F0F42">
      <w:pPr>
        <w:numPr>
          <w:ilvl w:val="0"/>
          <w:numId w:val="12"/>
        </w:numPr>
        <w:rPr>
          <w:rFonts w:eastAsia="宋体"/>
          <w:color w:val="000000"/>
          <w:lang w:eastAsia="zh-CN"/>
        </w:rPr>
      </w:pPr>
      <w:r>
        <w:rPr>
          <w:rFonts w:eastAsia="宋体"/>
          <w:color w:val="000000"/>
          <w:lang w:eastAsia="zh-CN"/>
        </w:rPr>
        <w:t xml:space="preserve">R2-2311971, RRC open issues for Rel-18 Multi-path, Huawei, </w:t>
      </w:r>
      <w:proofErr w:type="spellStart"/>
      <w:r>
        <w:rPr>
          <w:rFonts w:eastAsia="宋体"/>
          <w:color w:val="000000"/>
          <w:lang w:eastAsia="zh-CN"/>
        </w:rPr>
        <w:t>HiSilicon</w:t>
      </w:r>
      <w:proofErr w:type="spellEnd"/>
      <w:r>
        <w:rPr>
          <w:rFonts w:eastAsia="宋体"/>
          <w:color w:val="000000"/>
          <w:lang w:eastAsia="zh-CN"/>
        </w:rPr>
        <w:t>.</w:t>
      </w:r>
    </w:p>
    <w:sectPr w:rsidR="00163EB1">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EA8" w:rsidRDefault="00A21EA8">
      <w:r>
        <w:separator/>
      </w:r>
    </w:p>
  </w:endnote>
  <w:endnote w:type="continuationSeparator" w:id="0">
    <w:p w:rsidR="00A21EA8" w:rsidRDefault="00A2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EA8" w:rsidRDefault="00A21EA8">
      <w:r>
        <w:separator/>
      </w:r>
    </w:p>
  </w:footnote>
  <w:footnote w:type="continuationSeparator" w:id="0">
    <w:p w:rsidR="00A21EA8" w:rsidRDefault="00A21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EB1" w:rsidRDefault="00163EB1">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53429"/>
    <w:multiLevelType w:val="multilevel"/>
    <w:tmpl w:val="226534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1F70274"/>
    <w:multiLevelType w:val="multilevel"/>
    <w:tmpl w:val="31F702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 w15:restartNumberingAfterBreak="0">
    <w:nsid w:val="438D2EC0"/>
    <w:multiLevelType w:val="multilevel"/>
    <w:tmpl w:val="438D2EC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9910172"/>
    <w:multiLevelType w:val="multilevel"/>
    <w:tmpl w:val="79910172"/>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5"/>
  </w:num>
  <w:num w:numId="3">
    <w:abstractNumId w:val="2"/>
  </w:num>
  <w:num w:numId="4">
    <w:abstractNumId w:val="4"/>
  </w:num>
  <w:num w:numId="5">
    <w:abstractNumId w:val="8"/>
  </w:num>
  <w:num w:numId="6">
    <w:abstractNumId w:val="7"/>
  </w:num>
  <w:num w:numId="7">
    <w:abstractNumId w:val="3"/>
  </w:num>
  <w:num w:numId="8">
    <w:abstractNumId w:val="6"/>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7ED"/>
    <w:rsid w:val="00000AA4"/>
    <w:rsid w:val="00000DA0"/>
    <w:rsid w:val="00002134"/>
    <w:rsid w:val="0000314A"/>
    <w:rsid w:val="0000327C"/>
    <w:rsid w:val="00003886"/>
    <w:rsid w:val="00003C8D"/>
    <w:rsid w:val="00003D82"/>
    <w:rsid w:val="0000410D"/>
    <w:rsid w:val="0000460A"/>
    <w:rsid w:val="00004F59"/>
    <w:rsid w:val="00005012"/>
    <w:rsid w:val="0000539E"/>
    <w:rsid w:val="000054C0"/>
    <w:rsid w:val="000056F7"/>
    <w:rsid w:val="00005C84"/>
    <w:rsid w:val="00005C96"/>
    <w:rsid w:val="00005FE0"/>
    <w:rsid w:val="0000600D"/>
    <w:rsid w:val="000060C1"/>
    <w:rsid w:val="000060D4"/>
    <w:rsid w:val="000063A7"/>
    <w:rsid w:val="000065F3"/>
    <w:rsid w:val="000065F8"/>
    <w:rsid w:val="0000694F"/>
    <w:rsid w:val="00006DB1"/>
    <w:rsid w:val="0000721F"/>
    <w:rsid w:val="00007A1D"/>
    <w:rsid w:val="0001068D"/>
    <w:rsid w:val="00010791"/>
    <w:rsid w:val="0001087A"/>
    <w:rsid w:val="00011119"/>
    <w:rsid w:val="000116A5"/>
    <w:rsid w:val="00011C8C"/>
    <w:rsid w:val="00011CEA"/>
    <w:rsid w:val="00011F30"/>
    <w:rsid w:val="00011F7A"/>
    <w:rsid w:val="00011FED"/>
    <w:rsid w:val="00011FFB"/>
    <w:rsid w:val="00012414"/>
    <w:rsid w:val="000124C4"/>
    <w:rsid w:val="000126F3"/>
    <w:rsid w:val="000128E4"/>
    <w:rsid w:val="00013116"/>
    <w:rsid w:val="00013333"/>
    <w:rsid w:val="000137AA"/>
    <w:rsid w:val="0001408B"/>
    <w:rsid w:val="00014682"/>
    <w:rsid w:val="000149C2"/>
    <w:rsid w:val="00014BD6"/>
    <w:rsid w:val="00014CC2"/>
    <w:rsid w:val="00014D04"/>
    <w:rsid w:val="00015A87"/>
    <w:rsid w:val="0001619A"/>
    <w:rsid w:val="0001640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0BCE"/>
    <w:rsid w:val="00021042"/>
    <w:rsid w:val="0002195F"/>
    <w:rsid w:val="000219F2"/>
    <w:rsid w:val="00021B1B"/>
    <w:rsid w:val="00021C03"/>
    <w:rsid w:val="000228BC"/>
    <w:rsid w:val="00022A7D"/>
    <w:rsid w:val="00022F19"/>
    <w:rsid w:val="00023AAB"/>
    <w:rsid w:val="000241CB"/>
    <w:rsid w:val="0002495B"/>
    <w:rsid w:val="00024DC5"/>
    <w:rsid w:val="000250AB"/>
    <w:rsid w:val="00025246"/>
    <w:rsid w:val="000254B6"/>
    <w:rsid w:val="000254CE"/>
    <w:rsid w:val="0002552A"/>
    <w:rsid w:val="0002596D"/>
    <w:rsid w:val="00025A64"/>
    <w:rsid w:val="000260C1"/>
    <w:rsid w:val="0002645B"/>
    <w:rsid w:val="00026646"/>
    <w:rsid w:val="0002679E"/>
    <w:rsid w:val="000274D5"/>
    <w:rsid w:val="0002754F"/>
    <w:rsid w:val="00030260"/>
    <w:rsid w:val="0003059F"/>
    <w:rsid w:val="000305F0"/>
    <w:rsid w:val="00030815"/>
    <w:rsid w:val="00030A97"/>
    <w:rsid w:val="00030BD6"/>
    <w:rsid w:val="00030DFC"/>
    <w:rsid w:val="0003221E"/>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B20"/>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C12"/>
    <w:rsid w:val="00043F7C"/>
    <w:rsid w:val="00044275"/>
    <w:rsid w:val="00044623"/>
    <w:rsid w:val="00045071"/>
    <w:rsid w:val="000458C5"/>
    <w:rsid w:val="000458FF"/>
    <w:rsid w:val="00045B1D"/>
    <w:rsid w:val="000465F7"/>
    <w:rsid w:val="00046EE0"/>
    <w:rsid w:val="00047121"/>
    <w:rsid w:val="00047398"/>
    <w:rsid w:val="00047423"/>
    <w:rsid w:val="00047657"/>
    <w:rsid w:val="0004779E"/>
    <w:rsid w:val="00047D75"/>
    <w:rsid w:val="00047F98"/>
    <w:rsid w:val="000503BF"/>
    <w:rsid w:val="00050715"/>
    <w:rsid w:val="0005078C"/>
    <w:rsid w:val="00050B92"/>
    <w:rsid w:val="00050D4B"/>
    <w:rsid w:val="00050DB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6F7"/>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DF2"/>
    <w:rsid w:val="00065E7E"/>
    <w:rsid w:val="0006608A"/>
    <w:rsid w:val="0006633A"/>
    <w:rsid w:val="000663CF"/>
    <w:rsid w:val="00066C46"/>
    <w:rsid w:val="00066EFF"/>
    <w:rsid w:val="00066FF2"/>
    <w:rsid w:val="00067083"/>
    <w:rsid w:val="00067408"/>
    <w:rsid w:val="000676BD"/>
    <w:rsid w:val="000678EB"/>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203"/>
    <w:rsid w:val="00076367"/>
    <w:rsid w:val="0007680E"/>
    <w:rsid w:val="00076929"/>
    <w:rsid w:val="00076953"/>
    <w:rsid w:val="00076A2B"/>
    <w:rsid w:val="00076E3A"/>
    <w:rsid w:val="000771D1"/>
    <w:rsid w:val="000771D8"/>
    <w:rsid w:val="00077878"/>
    <w:rsid w:val="00077C76"/>
    <w:rsid w:val="00077DB2"/>
    <w:rsid w:val="00077E6A"/>
    <w:rsid w:val="000804E1"/>
    <w:rsid w:val="0008102D"/>
    <w:rsid w:val="000810A7"/>
    <w:rsid w:val="000813D1"/>
    <w:rsid w:val="00081472"/>
    <w:rsid w:val="000816D8"/>
    <w:rsid w:val="000817D8"/>
    <w:rsid w:val="00081AC8"/>
    <w:rsid w:val="00081C42"/>
    <w:rsid w:val="00081FCD"/>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D8A"/>
    <w:rsid w:val="00084FDF"/>
    <w:rsid w:val="000851F2"/>
    <w:rsid w:val="00085374"/>
    <w:rsid w:val="000855DF"/>
    <w:rsid w:val="000857E9"/>
    <w:rsid w:val="00085840"/>
    <w:rsid w:val="00085970"/>
    <w:rsid w:val="00085FE1"/>
    <w:rsid w:val="00086187"/>
    <w:rsid w:val="0008625E"/>
    <w:rsid w:val="000867C0"/>
    <w:rsid w:val="00086931"/>
    <w:rsid w:val="000878FA"/>
    <w:rsid w:val="00087CF0"/>
    <w:rsid w:val="0009046B"/>
    <w:rsid w:val="00090FD2"/>
    <w:rsid w:val="00091885"/>
    <w:rsid w:val="00091C53"/>
    <w:rsid w:val="00091C8C"/>
    <w:rsid w:val="000920C6"/>
    <w:rsid w:val="000921EC"/>
    <w:rsid w:val="0009234A"/>
    <w:rsid w:val="000924E9"/>
    <w:rsid w:val="00092A0C"/>
    <w:rsid w:val="00092FB0"/>
    <w:rsid w:val="000931F0"/>
    <w:rsid w:val="0009327A"/>
    <w:rsid w:val="00093374"/>
    <w:rsid w:val="00093EC0"/>
    <w:rsid w:val="0009410D"/>
    <w:rsid w:val="0009419A"/>
    <w:rsid w:val="00094600"/>
    <w:rsid w:val="000949E3"/>
    <w:rsid w:val="00094B3C"/>
    <w:rsid w:val="00094B40"/>
    <w:rsid w:val="00094DA0"/>
    <w:rsid w:val="000951E0"/>
    <w:rsid w:val="000954F0"/>
    <w:rsid w:val="00095512"/>
    <w:rsid w:val="00095889"/>
    <w:rsid w:val="00095F77"/>
    <w:rsid w:val="00096648"/>
    <w:rsid w:val="00096E01"/>
    <w:rsid w:val="00096F93"/>
    <w:rsid w:val="00097273"/>
    <w:rsid w:val="0009740A"/>
    <w:rsid w:val="0009777D"/>
    <w:rsid w:val="00097909"/>
    <w:rsid w:val="00097E27"/>
    <w:rsid w:val="00097EAD"/>
    <w:rsid w:val="000A02C2"/>
    <w:rsid w:val="000A07A7"/>
    <w:rsid w:val="000A09D3"/>
    <w:rsid w:val="000A0D04"/>
    <w:rsid w:val="000A18F9"/>
    <w:rsid w:val="000A1A4E"/>
    <w:rsid w:val="000A1B5B"/>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053"/>
    <w:rsid w:val="000A6BF8"/>
    <w:rsid w:val="000A7A58"/>
    <w:rsid w:val="000A7B49"/>
    <w:rsid w:val="000A7C2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1F"/>
    <w:rsid w:val="000B2F47"/>
    <w:rsid w:val="000B3216"/>
    <w:rsid w:val="000B3390"/>
    <w:rsid w:val="000B33C6"/>
    <w:rsid w:val="000B36EE"/>
    <w:rsid w:val="000B3F2F"/>
    <w:rsid w:val="000B3F5F"/>
    <w:rsid w:val="000B3F99"/>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21C"/>
    <w:rsid w:val="000C2567"/>
    <w:rsid w:val="000C256E"/>
    <w:rsid w:val="000C25A3"/>
    <w:rsid w:val="000C25E0"/>
    <w:rsid w:val="000C27FD"/>
    <w:rsid w:val="000C2FA3"/>
    <w:rsid w:val="000C3170"/>
    <w:rsid w:val="000C31B8"/>
    <w:rsid w:val="000C345D"/>
    <w:rsid w:val="000C3CFF"/>
    <w:rsid w:val="000C419C"/>
    <w:rsid w:val="000C4297"/>
    <w:rsid w:val="000C472E"/>
    <w:rsid w:val="000C4D73"/>
    <w:rsid w:val="000C4D87"/>
    <w:rsid w:val="000C515A"/>
    <w:rsid w:val="000C5E43"/>
    <w:rsid w:val="000C6024"/>
    <w:rsid w:val="000C62D9"/>
    <w:rsid w:val="000C6385"/>
    <w:rsid w:val="000C6AD0"/>
    <w:rsid w:val="000C73A4"/>
    <w:rsid w:val="000C771A"/>
    <w:rsid w:val="000C7EAB"/>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D7AC5"/>
    <w:rsid w:val="000E068D"/>
    <w:rsid w:val="000E0715"/>
    <w:rsid w:val="000E0B2C"/>
    <w:rsid w:val="000E0F87"/>
    <w:rsid w:val="000E174C"/>
    <w:rsid w:val="000E1909"/>
    <w:rsid w:val="000E1B02"/>
    <w:rsid w:val="000E260B"/>
    <w:rsid w:val="000E2A4C"/>
    <w:rsid w:val="000E31A7"/>
    <w:rsid w:val="000E3C6B"/>
    <w:rsid w:val="000E3ED6"/>
    <w:rsid w:val="000E4629"/>
    <w:rsid w:val="000E4B3F"/>
    <w:rsid w:val="000E542E"/>
    <w:rsid w:val="000E5B81"/>
    <w:rsid w:val="000E63A3"/>
    <w:rsid w:val="000E64DE"/>
    <w:rsid w:val="000E6770"/>
    <w:rsid w:val="000E6C21"/>
    <w:rsid w:val="000E7159"/>
    <w:rsid w:val="000E722C"/>
    <w:rsid w:val="000E744E"/>
    <w:rsid w:val="000E7B6C"/>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091"/>
    <w:rsid w:val="000F4997"/>
    <w:rsid w:val="000F4D76"/>
    <w:rsid w:val="000F531A"/>
    <w:rsid w:val="000F5388"/>
    <w:rsid w:val="000F57D5"/>
    <w:rsid w:val="000F58D9"/>
    <w:rsid w:val="000F5B9E"/>
    <w:rsid w:val="000F5BE1"/>
    <w:rsid w:val="000F62FB"/>
    <w:rsid w:val="000F64C8"/>
    <w:rsid w:val="000F6E9B"/>
    <w:rsid w:val="000F70FF"/>
    <w:rsid w:val="000F71D0"/>
    <w:rsid w:val="000F75EA"/>
    <w:rsid w:val="000F761D"/>
    <w:rsid w:val="000F7D04"/>
    <w:rsid w:val="001005AB"/>
    <w:rsid w:val="00100929"/>
    <w:rsid w:val="001009E1"/>
    <w:rsid w:val="00100E29"/>
    <w:rsid w:val="001013FA"/>
    <w:rsid w:val="0010177F"/>
    <w:rsid w:val="001017CA"/>
    <w:rsid w:val="0010209B"/>
    <w:rsid w:val="0010244B"/>
    <w:rsid w:val="0010299B"/>
    <w:rsid w:val="00103170"/>
    <w:rsid w:val="001032FB"/>
    <w:rsid w:val="001033D2"/>
    <w:rsid w:val="00103937"/>
    <w:rsid w:val="0010472C"/>
    <w:rsid w:val="001048AD"/>
    <w:rsid w:val="0010493D"/>
    <w:rsid w:val="00104CF2"/>
    <w:rsid w:val="00104DA0"/>
    <w:rsid w:val="00105160"/>
    <w:rsid w:val="00105249"/>
    <w:rsid w:val="001053C1"/>
    <w:rsid w:val="00105570"/>
    <w:rsid w:val="001056CB"/>
    <w:rsid w:val="00105812"/>
    <w:rsid w:val="00105CB9"/>
    <w:rsid w:val="00106735"/>
    <w:rsid w:val="001067A4"/>
    <w:rsid w:val="00106BC9"/>
    <w:rsid w:val="00106E11"/>
    <w:rsid w:val="00107304"/>
    <w:rsid w:val="00110828"/>
    <w:rsid w:val="001109E6"/>
    <w:rsid w:val="00111192"/>
    <w:rsid w:val="001113AF"/>
    <w:rsid w:val="00111620"/>
    <w:rsid w:val="00111719"/>
    <w:rsid w:val="00111A29"/>
    <w:rsid w:val="001120FC"/>
    <w:rsid w:val="001121FA"/>
    <w:rsid w:val="00112756"/>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105"/>
    <w:rsid w:val="00117296"/>
    <w:rsid w:val="00117423"/>
    <w:rsid w:val="001174AC"/>
    <w:rsid w:val="0011759E"/>
    <w:rsid w:val="00120A72"/>
    <w:rsid w:val="001212D7"/>
    <w:rsid w:val="00121651"/>
    <w:rsid w:val="001216B6"/>
    <w:rsid w:val="00121DA2"/>
    <w:rsid w:val="00121F6C"/>
    <w:rsid w:val="00122469"/>
    <w:rsid w:val="00122ABA"/>
    <w:rsid w:val="00122D3A"/>
    <w:rsid w:val="001233A1"/>
    <w:rsid w:val="00123B33"/>
    <w:rsid w:val="00123E23"/>
    <w:rsid w:val="00123E4E"/>
    <w:rsid w:val="00123E88"/>
    <w:rsid w:val="0012412F"/>
    <w:rsid w:val="00124497"/>
    <w:rsid w:val="0012467F"/>
    <w:rsid w:val="00124BE6"/>
    <w:rsid w:val="00124C62"/>
    <w:rsid w:val="001251AA"/>
    <w:rsid w:val="0012588D"/>
    <w:rsid w:val="00125B85"/>
    <w:rsid w:val="00125C01"/>
    <w:rsid w:val="00125CA4"/>
    <w:rsid w:val="00125ED7"/>
    <w:rsid w:val="00126804"/>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48"/>
    <w:rsid w:val="00133D51"/>
    <w:rsid w:val="00133DCD"/>
    <w:rsid w:val="0013420A"/>
    <w:rsid w:val="001343D1"/>
    <w:rsid w:val="0013459A"/>
    <w:rsid w:val="00134974"/>
    <w:rsid w:val="00134B80"/>
    <w:rsid w:val="00134B9D"/>
    <w:rsid w:val="00134DD0"/>
    <w:rsid w:val="0013500E"/>
    <w:rsid w:val="001354D1"/>
    <w:rsid w:val="0013594B"/>
    <w:rsid w:val="00135972"/>
    <w:rsid w:val="00135A19"/>
    <w:rsid w:val="00135E35"/>
    <w:rsid w:val="00136179"/>
    <w:rsid w:val="00136531"/>
    <w:rsid w:val="0013659E"/>
    <w:rsid w:val="00136651"/>
    <w:rsid w:val="0013688A"/>
    <w:rsid w:val="00136DDF"/>
    <w:rsid w:val="00136EA1"/>
    <w:rsid w:val="00137037"/>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3C4E"/>
    <w:rsid w:val="0014403F"/>
    <w:rsid w:val="0014405C"/>
    <w:rsid w:val="00144131"/>
    <w:rsid w:val="0014440C"/>
    <w:rsid w:val="00144705"/>
    <w:rsid w:val="0014493C"/>
    <w:rsid w:val="00144D06"/>
    <w:rsid w:val="00144D39"/>
    <w:rsid w:val="00144FAE"/>
    <w:rsid w:val="00145AFF"/>
    <w:rsid w:val="00145B1A"/>
    <w:rsid w:val="00145B6F"/>
    <w:rsid w:val="00145D21"/>
    <w:rsid w:val="00145DCF"/>
    <w:rsid w:val="00146069"/>
    <w:rsid w:val="00146445"/>
    <w:rsid w:val="00146537"/>
    <w:rsid w:val="001465B0"/>
    <w:rsid w:val="001466C3"/>
    <w:rsid w:val="00146C25"/>
    <w:rsid w:val="00146C4A"/>
    <w:rsid w:val="00147160"/>
    <w:rsid w:val="001477A5"/>
    <w:rsid w:val="00147DB0"/>
    <w:rsid w:val="00147DC7"/>
    <w:rsid w:val="00147E1C"/>
    <w:rsid w:val="00147ED0"/>
    <w:rsid w:val="00147F44"/>
    <w:rsid w:val="00150633"/>
    <w:rsid w:val="0015097A"/>
    <w:rsid w:val="00150D8B"/>
    <w:rsid w:val="001511AD"/>
    <w:rsid w:val="001516AB"/>
    <w:rsid w:val="0015172E"/>
    <w:rsid w:val="001518D9"/>
    <w:rsid w:val="00151BB2"/>
    <w:rsid w:val="00151E1B"/>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12"/>
    <w:rsid w:val="001562C6"/>
    <w:rsid w:val="00156378"/>
    <w:rsid w:val="00156CCB"/>
    <w:rsid w:val="00156EF4"/>
    <w:rsid w:val="00157A72"/>
    <w:rsid w:val="00157A73"/>
    <w:rsid w:val="00157BD9"/>
    <w:rsid w:val="00157E43"/>
    <w:rsid w:val="001602CA"/>
    <w:rsid w:val="00160C79"/>
    <w:rsid w:val="0016114B"/>
    <w:rsid w:val="00161189"/>
    <w:rsid w:val="001612D9"/>
    <w:rsid w:val="00161D41"/>
    <w:rsid w:val="00161DC1"/>
    <w:rsid w:val="00161E41"/>
    <w:rsid w:val="0016215E"/>
    <w:rsid w:val="00162501"/>
    <w:rsid w:val="001628D0"/>
    <w:rsid w:val="00162A86"/>
    <w:rsid w:val="00162D9C"/>
    <w:rsid w:val="001631C7"/>
    <w:rsid w:val="0016331D"/>
    <w:rsid w:val="00163436"/>
    <w:rsid w:val="00163EB1"/>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E90"/>
    <w:rsid w:val="00166F54"/>
    <w:rsid w:val="00167384"/>
    <w:rsid w:val="00167535"/>
    <w:rsid w:val="001678FF"/>
    <w:rsid w:val="00167906"/>
    <w:rsid w:val="00167B82"/>
    <w:rsid w:val="00167C0C"/>
    <w:rsid w:val="00167E3C"/>
    <w:rsid w:val="00167EB4"/>
    <w:rsid w:val="00167F0E"/>
    <w:rsid w:val="0017023E"/>
    <w:rsid w:val="001702B2"/>
    <w:rsid w:val="00170656"/>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8F3"/>
    <w:rsid w:val="00176AEF"/>
    <w:rsid w:val="00176D09"/>
    <w:rsid w:val="00176D18"/>
    <w:rsid w:val="00177528"/>
    <w:rsid w:val="001778E6"/>
    <w:rsid w:val="00177958"/>
    <w:rsid w:val="00177CD9"/>
    <w:rsid w:val="00177EAB"/>
    <w:rsid w:val="00180604"/>
    <w:rsid w:val="00180CB0"/>
    <w:rsid w:val="00180F27"/>
    <w:rsid w:val="001810C8"/>
    <w:rsid w:val="00181EE6"/>
    <w:rsid w:val="001821A8"/>
    <w:rsid w:val="0018249E"/>
    <w:rsid w:val="001829FA"/>
    <w:rsid w:val="0018326F"/>
    <w:rsid w:val="00183510"/>
    <w:rsid w:val="0018370D"/>
    <w:rsid w:val="00183852"/>
    <w:rsid w:val="00183C8D"/>
    <w:rsid w:val="00183F7C"/>
    <w:rsid w:val="00184249"/>
    <w:rsid w:val="00184CC8"/>
    <w:rsid w:val="00184F0D"/>
    <w:rsid w:val="00184F7F"/>
    <w:rsid w:val="0018573F"/>
    <w:rsid w:val="00185B5F"/>
    <w:rsid w:val="0018663F"/>
    <w:rsid w:val="0018669D"/>
    <w:rsid w:val="001866D7"/>
    <w:rsid w:val="00186DEA"/>
    <w:rsid w:val="00186E18"/>
    <w:rsid w:val="00187F78"/>
    <w:rsid w:val="001907C4"/>
    <w:rsid w:val="001908B8"/>
    <w:rsid w:val="00190B72"/>
    <w:rsid w:val="0019101F"/>
    <w:rsid w:val="0019108F"/>
    <w:rsid w:val="00191D55"/>
    <w:rsid w:val="0019201E"/>
    <w:rsid w:val="0019214A"/>
    <w:rsid w:val="001927F4"/>
    <w:rsid w:val="001928FA"/>
    <w:rsid w:val="001929DB"/>
    <w:rsid w:val="001932DB"/>
    <w:rsid w:val="001933E2"/>
    <w:rsid w:val="00193541"/>
    <w:rsid w:val="00193956"/>
    <w:rsid w:val="00193AE7"/>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1FE0"/>
    <w:rsid w:val="001A2279"/>
    <w:rsid w:val="001A29E7"/>
    <w:rsid w:val="001A2BB3"/>
    <w:rsid w:val="001A2C5C"/>
    <w:rsid w:val="001A2D60"/>
    <w:rsid w:val="001A3353"/>
    <w:rsid w:val="001A362D"/>
    <w:rsid w:val="001A3CF4"/>
    <w:rsid w:val="001A3DCC"/>
    <w:rsid w:val="001A3F69"/>
    <w:rsid w:val="001A45FF"/>
    <w:rsid w:val="001A4887"/>
    <w:rsid w:val="001A4992"/>
    <w:rsid w:val="001A4CDF"/>
    <w:rsid w:val="001A509D"/>
    <w:rsid w:val="001A516E"/>
    <w:rsid w:val="001A51EB"/>
    <w:rsid w:val="001A520D"/>
    <w:rsid w:val="001A551B"/>
    <w:rsid w:val="001A5678"/>
    <w:rsid w:val="001A5A84"/>
    <w:rsid w:val="001A5CD8"/>
    <w:rsid w:val="001A5F47"/>
    <w:rsid w:val="001A6872"/>
    <w:rsid w:val="001A6FF4"/>
    <w:rsid w:val="001A727B"/>
    <w:rsid w:val="001A75C5"/>
    <w:rsid w:val="001A791A"/>
    <w:rsid w:val="001A7D4F"/>
    <w:rsid w:val="001B03B7"/>
    <w:rsid w:val="001B09AD"/>
    <w:rsid w:val="001B0D07"/>
    <w:rsid w:val="001B11A2"/>
    <w:rsid w:val="001B1D92"/>
    <w:rsid w:val="001B1E67"/>
    <w:rsid w:val="001B20C9"/>
    <w:rsid w:val="001B24CD"/>
    <w:rsid w:val="001B2958"/>
    <w:rsid w:val="001B3934"/>
    <w:rsid w:val="001B3B5D"/>
    <w:rsid w:val="001B3C54"/>
    <w:rsid w:val="001B3E87"/>
    <w:rsid w:val="001B409D"/>
    <w:rsid w:val="001B41A8"/>
    <w:rsid w:val="001B528F"/>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913"/>
    <w:rsid w:val="001C0A2A"/>
    <w:rsid w:val="001C0B27"/>
    <w:rsid w:val="001C0BC4"/>
    <w:rsid w:val="001C1A97"/>
    <w:rsid w:val="001C2342"/>
    <w:rsid w:val="001C235F"/>
    <w:rsid w:val="001C2710"/>
    <w:rsid w:val="001C3959"/>
    <w:rsid w:val="001C3D68"/>
    <w:rsid w:val="001C411C"/>
    <w:rsid w:val="001C41EF"/>
    <w:rsid w:val="001C49B9"/>
    <w:rsid w:val="001C4C8A"/>
    <w:rsid w:val="001C4D23"/>
    <w:rsid w:val="001C4F0D"/>
    <w:rsid w:val="001C510B"/>
    <w:rsid w:val="001C5551"/>
    <w:rsid w:val="001C56C5"/>
    <w:rsid w:val="001C5AE9"/>
    <w:rsid w:val="001C5D2D"/>
    <w:rsid w:val="001C610F"/>
    <w:rsid w:val="001C626F"/>
    <w:rsid w:val="001C7268"/>
    <w:rsid w:val="001C74F7"/>
    <w:rsid w:val="001C765A"/>
    <w:rsid w:val="001C78FC"/>
    <w:rsid w:val="001D096F"/>
    <w:rsid w:val="001D0DB4"/>
    <w:rsid w:val="001D0DD1"/>
    <w:rsid w:val="001D0EB8"/>
    <w:rsid w:val="001D155F"/>
    <w:rsid w:val="001D1618"/>
    <w:rsid w:val="001D2EAF"/>
    <w:rsid w:val="001D30A6"/>
    <w:rsid w:val="001D3507"/>
    <w:rsid w:val="001D35F6"/>
    <w:rsid w:val="001D363E"/>
    <w:rsid w:val="001D3701"/>
    <w:rsid w:val="001D3853"/>
    <w:rsid w:val="001D3BBA"/>
    <w:rsid w:val="001D3CC4"/>
    <w:rsid w:val="001D46D3"/>
    <w:rsid w:val="001D4FE9"/>
    <w:rsid w:val="001D52E6"/>
    <w:rsid w:val="001D53A2"/>
    <w:rsid w:val="001D5449"/>
    <w:rsid w:val="001D5846"/>
    <w:rsid w:val="001D5966"/>
    <w:rsid w:val="001D5C48"/>
    <w:rsid w:val="001D5C94"/>
    <w:rsid w:val="001D5CBC"/>
    <w:rsid w:val="001D6C50"/>
    <w:rsid w:val="001D6E0B"/>
    <w:rsid w:val="001D6E2D"/>
    <w:rsid w:val="001D74FE"/>
    <w:rsid w:val="001E085D"/>
    <w:rsid w:val="001E08B2"/>
    <w:rsid w:val="001E1051"/>
    <w:rsid w:val="001E1229"/>
    <w:rsid w:val="001E1243"/>
    <w:rsid w:val="001E19F7"/>
    <w:rsid w:val="001E1E22"/>
    <w:rsid w:val="001E1F1A"/>
    <w:rsid w:val="001E2756"/>
    <w:rsid w:val="001E27FE"/>
    <w:rsid w:val="001E2B65"/>
    <w:rsid w:val="001E2DCD"/>
    <w:rsid w:val="001E2EDC"/>
    <w:rsid w:val="001E2F8C"/>
    <w:rsid w:val="001E37F1"/>
    <w:rsid w:val="001E3ADE"/>
    <w:rsid w:val="001E3C84"/>
    <w:rsid w:val="001E40D8"/>
    <w:rsid w:val="001E4190"/>
    <w:rsid w:val="001E43E1"/>
    <w:rsid w:val="001E44AD"/>
    <w:rsid w:val="001E44F5"/>
    <w:rsid w:val="001E4547"/>
    <w:rsid w:val="001E4EB7"/>
    <w:rsid w:val="001E59F8"/>
    <w:rsid w:val="001E5D5B"/>
    <w:rsid w:val="001E5DE6"/>
    <w:rsid w:val="001E7352"/>
    <w:rsid w:val="001E7400"/>
    <w:rsid w:val="001E742A"/>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C14"/>
    <w:rsid w:val="001F4D40"/>
    <w:rsid w:val="001F53DE"/>
    <w:rsid w:val="001F6169"/>
    <w:rsid w:val="001F6DC8"/>
    <w:rsid w:val="001F7A28"/>
    <w:rsid w:val="001F7B4F"/>
    <w:rsid w:val="001F7C6D"/>
    <w:rsid w:val="001F7F63"/>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4739"/>
    <w:rsid w:val="00204901"/>
    <w:rsid w:val="0020540C"/>
    <w:rsid w:val="00205487"/>
    <w:rsid w:val="00205882"/>
    <w:rsid w:val="00205CD7"/>
    <w:rsid w:val="0020655B"/>
    <w:rsid w:val="00206596"/>
    <w:rsid w:val="0020677C"/>
    <w:rsid w:val="00206CB7"/>
    <w:rsid w:val="00206DED"/>
    <w:rsid w:val="002070A9"/>
    <w:rsid w:val="00207136"/>
    <w:rsid w:val="0020754F"/>
    <w:rsid w:val="0020769D"/>
    <w:rsid w:val="002077D6"/>
    <w:rsid w:val="00207C25"/>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A1C"/>
    <w:rsid w:val="00213E13"/>
    <w:rsid w:val="00213FA1"/>
    <w:rsid w:val="002140A6"/>
    <w:rsid w:val="00214136"/>
    <w:rsid w:val="0021420A"/>
    <w:rsid w:val="00214453"/>
    <w:rsid w:val="002146A8"/>
    <w:rsid w:val="00214C34"/>
    <w:rsid w:val="00215158"/>
    <w:rsid w:val="002151C8"/>
    <w:rsid w:val="0021533D"/>
    <w:rsid w:val="002153E2"/>
    <w:rsid w:val="002156B9"/>
    <w:rsid w:val="002157BD"/>
    <w:rsid w:val="00216096"/>
    <w:rsid w:val="0021696C"/>
    <w:rsid w:val="00216AAF"/>
    <w:rsid w:val="00216AE6"/>
    <w:rsid w:val="00216D7E"/>
    <w:rsid w:val="00216D8C"/>
    <w:rsid w:val="0021735E"/>
    <w:rsid w:val="00217694"/>
    <w:rsid w:val="002179B9"/>
    <w:rsid w:val="002179E1"/>
    <w:rsid w:val="00217AE5"/>
    <w:rsid w:val="002202C2"/>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1F28"/>
    <w:rsid w:val="0023222B"/>
    <w:rsid w:val="0023247D"/>
    <w:rsid w:val="00232F09"/>
    <w:rsid w:val="00233BCC"/>
    <w:rsid w:val="0023413E"/>
    <w:rsid w:val="002342DD"/>
    <w:rsid w:val="002344A0"/>
    <w:rsid w:val="00234A29"/>
    <w:rsid w:val="00234B22"/>
    <w:rsid w:val="002351AD"/>
    <w:rsid w:val="002351B7"/>
    <w:rsid w:val="002352F4"/>
    <w:rsid w:val="00235387"/>
    <w:rsid w:val="00235544"/>
    <w:rsid w:val="002355CA"/>
    <w:rsid w:val="002356BF"/>
    <w:rsid w:val="00235763"/>
    <w:rsid w:val="002357E6"/>
    <w:rsid w:val="002361CA"/>
    <w:rsid w:val="0023651F"/>
    <w:rsid w:val="002366FB"/>
    <w:rsid w:val="00236A9E"/>
    <w:rsid w:val="00236AA7"/>
    <w:rsid w:val="00236B5D"/>
    <w:rsid w:val="00236B8F"/>
    <w:rsid w:val="00236ED3"/>
    <w:rsid w:val="002372A4"/>
    <w:rsid w:val="002374C5"/>
    <w:rsid w:val="002376C4"/>
    <w:rsid w:val="0024004C"/>
    <w:rsid w:val="00240105"/>
    <w:rsid w:val="00240150"/>
    <w:rsid w:val="002403D2"/>
    <w:rsid w:val="0024071B"/>
    <w:rsid w:val="00240B24"/>
    <w:rsid w:val="00240CB3"/>
    <w:rsid w:val="00240E43"/>
    <w:rsid w:val="00240E56"/>
    <w:rsid w:val="002412BF"/>
    <w:rsid w:val="002416DE"/>
    <w:rsid w:val="0024178E"/>
    <w:rsid w:val="002419FE"/>
    <w:rsid w:val="00241B49"/>
    <w:rsid w:val="00241C61"/>
    <w:rsid w:val="00241EA1"/>
    <w:rsid w:val="002420FD"/>
    <w:rsid w:val="002421B4"/>
    <w:rsid w:val="002429F1"/>
    <w:rsid w:val="00242CBB"/>
    <w:rsid w:val="00242D21"/>
    <w:rsid w:val="00242D5C"/>
    <w:rsid w:val="00242DE0"/>
    <w:rsid w:val="00242F8B"/>
    <w:rsid w:val="0024388A"/>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1F5"/>
    <w:rsid w:val="002522BE"/>
    <w:rsid w:val="0025230A"/>
    <w:rsid w:val="00252629"/>
    <w:rsid w:val="0025337F"/>
    <w:rsid w:val="002534E6"/>
    <w:rsid w:val="0025351C"/>
    <w:rsid w:val="00254140"/>
    <w:rsid w:val="00254432"/>
    <w:rsid w:val="00254AA6"/>
    <w:rsid w:val="00254ABD"/>
    <w:rsid w:val="00254C8E"/>
    <w:rsid w:val="00254D58"/>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939"/>
    <w:rsid w:val="00257C26"/>
    <w:rsid w:val="00257DC4"/>
    <w:rsid w:val="00257DEB"/>
    <w:rsid w:val="00260060"/>
    <w:rsid w:val="00260073"/>
    <w:rsid w:val="002602D4"/>
    <w:rsid w:val="00260488"/>
    <w:rsid w:val="00260794"/>
    <w:rsid w:val="002609BD"/>
    <w:rsid w:val="00260DC3"/>
    <w:rsid w:val="002617E4"/>
    <w:rsid w:val="00261AF9"/>
    <w:rsid w:val="00262256"/>
    <w:rsid w:val="002625DD"/>
    <w:rsid w:val="002626C0"/>
    <w:rsid w:val="00263019"/>
    <w:rsid w:val="0026311F"/>
    <w:rsid w:val="00263CEB"/>
    <w:rsid w:val="00264007"/>
    <w:rsid w:val="002640A5"/>
    <w:rsid w:val="002643DA"/>
    <w:rsid w:val="00264629"/>
    <w:rsid w:val="002648B0"/>
    <w:rsid w:val="00265752"/>
    <w:rsid w:val="00265D91"/>
    <w:rsid w:val="00265E6D"/>
    <w:rsid w:val="0026661C"/>
    <w:rsid w:val="00266E6B"/>
    <w:rsid w:val="00266EEC"/>
    <w:rsid w:val="00266FFD"/>
    <w:rsid w:val="00267592"/>
    <w:rsid w:val="00267601"/>
    <w:rsid w:val="00267DBA"/>
    <w:rsid w:val="00267FA4"/>
    <w:rsid w:val="002701A0"/>
    <w:rsid w:val="002709DB"/>
    <w:rsid w:val="00270FF3"/>
    <w:rsid w:val="00271179"/>
    <w:rsid w:val="0027121D"/>
    <w:rsid w:val="002717A3"/>
    <w:rsid w:val="00271A45"/>
    <w:rsid w:val="00272414"/>
    <w:rsid w:val="002726CB"/>
    <w:rsid w:val="002728C9"/>
    <w:rsid w:val="00272CAC"/>
    <w:rsid w:val="00272FCA"/>
    <w:rsid w:val="0027359C"/>
    <w:rsid w:val="002738C0"/>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12B"/>
    <w:rsid w:val="00277A04"/>
    <w:rsid w:val="00277B10"/>
    <w:rsid w:val="00277C3F"/>
    <w:rsid w:val="00277D6E"/>
    <w:rsid w:val="002802E9"/>
    <w:rsid w:val="002802F5"/>
    <w:rsid w:val="00280403"/>
    <w:rsid w:val="002806F4"/>
    <w:rsid w:val="00280862"/>
    <w:rsid w:val="00280ACF"/>
    <w:rsid w:val="00280C3C"/>
    <w:rsid w:val="00281228"/>
    <w:rsid w:val="00281F30"/>
    <w:rsid w:val="00281FAD"/>
    <w:rsid w:val="002821A6"/>
    <w:rsid w:val="00282283"/>
    <w:rsid w:val="00282534"/>
    <w:rsid w:val="00282907"/>
    <w:rsid w:val="002833B2"/>
    <w:rsid w:val="00283915"/>
    <w:rsid w:val="00283D10"/>
    <w:rsid w:val="00283D58"/>
    <w:rsid w:val="00284D1E"/>
    <w:rsid w:val="00284F82"/>
    <w:rsid w:val="00285034"/>
    <w:rsid w:val="00285282"/>
    <w:rsid w:val="00285284"/>
    <w:rsid w:val="00285631"/>
    <w:rsid w:val="0028643D"/>
    <w:rsid w:val="0028665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1E12"/>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720"/>
    <w:rsid w:val="002A2F10"/>
    <w:rsid w:val="002A3474"/>
    <w:rsid w:val="002A360E"/>
    <w:rsid w:val="002A3ABA"/>
    <w:rsid w:val="002A3E90"/>
    <w:rsid w:val="002A3FCD"/>
    <w:rsid w:val="002A4278"/>
    <w:rsid w:val="002A4299"/>
    <w:rsid w:val="002A4338"/>
    <w:rsid w:val="002A44E2"/>
    <w:rsid w:val="002A45D8"/>
    <w:rsid w:val="002A496E"/>
    <w:rsid w:val="002A4A51"/>
    <w:rsid w:val="002A4B57"/>
    <w:rsid w:val="002A5489"/>
    <w:rsid w:val="002A5985"/>
    <w:rsid w:val="002A5EC3"/>
    <w:rsid w:val="002A640F"/>
    <w:rsid w:val="002A6746"/>
    <w:rsid w:val="002A6A8E"/>
    <w:rsid w:val="002A6D2B"/>
    <w:rsid w:val="002A74CF"/>
    <w:rsid w:val="002A79B0"/>
    <w:rsid w:val="002A79CE"/>
    <w:rsid w:val="002B0085"/>
    <w:rsid w:val="002B0238"/>
    <w:rsid w:val="002B07FC"/>
    <w:rsid w:val="002B0A72"/>
    <w:rsid w:val="002B0C44"/>
    <w:rsid w:val="002B10F5"/>
    <w:rsid w:val="002B11B4"/>
    <w:rsid w:val="002B16F1"/>
    <w:rsid w:val="002B18C6"/>
    <w:rsid w:val="002B1A1A"/>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6F53"/>
    <w:rsid w:val="002B7006"/>
    <w:rsid w:val="002B72A6"/>
    <w:rsid w:val="002B72C2"/>
    <w:rsid w:val="002B7364"/>
    <w:rsid w:val="002B769E"/>
    <w:rsid w:val="002B790D"/>
    <w:rsid w:val="002B7D11"/>
    <w:rsid w:val="002C0425"/>
    <w:rsid w:val="002C061B"/>
    <w:rsid w:val="002C06A7"/>
    <w:rsid w:val="002C080F"/>
    <w:rsid w:val="002C09D3"/>
    <w:rsid w:val="002C0D1E"/>
    <w:rsid w:val="002C10F9"/>
    <w:rsid w:val="002C118D"/>
    <w:rsid w:val="002C11C6"/>
    <w:rsid w:val="002C1254"/>
    <w:rsid w:val="002C1378"/>
    <w:rsid w:val="002C138F"/>
    <w:rsid w:val="002C14A5"/>
    <w:rsid w:val="002C1681"/>
    <w:rsid w:val="002C1AD9"/>
    <w:rsid w:val="002C1FF8"/>
    <w:rsid w:val="002C211D"/>
    <w:rsid w:val="002C22B6"/>
    <w:rsid w:val="002C247F"/>
    <w:rsid w:val="002C2608"/>
    <w:rsid w:val="002C2645"/>
    <w:rsid w:val="002C2D40"/>
    <w:rsid w:val="002C362D"/>
    <w:rsid w:val="002C3953"/>
    <w:rsid w:val="002C3DC8"/>
    <w:rsid w:val="002C42D1"/>
    <w:rsid w:val="002C463A"/>
    <w:rsid w:val="002C4710"/>
    <w:rsid w:val="002C4ED9"/>
    <w:rsid w:val="002C5667"/>
    <w:rsid w:val="002C5BBA"/>
    <w:rsid w:val="002C5D62"/>
    <w:rsid w:val="002C6104"/>
    <w:rsid w:val="002C6318"/>
    <w:rsid w:val="002C6675"/>
    <w:rsid w:val="002C6865"/>
    <w:rsid w:val="002C6DF7"/>
    <w:rsid w:val="002C6E43"/>
    <w:rsid w:val="002C7649"/>
    <w:rsid w:val="002C774A"/>
    <w:rsid w:val="002C7B96"/>
    <w:rsid w:val="002D06D6"/>
    <w:rsid w:val="002D078F"/>
    <w:rsid w:val="002D093D"/>
    <w:rsid w:val="002D1147"/>
    <w:rsid w:val="002D15A9"/>
    <w:rsid w:val="002D16FF"/>
    <w:rsid w:val="002D17AB"/>
    <w:rsid w:val="002D2155"/>
    <w:rsid w:val="002D2279"/>
    <w:rsid w:val="002D22AA"/>
    <w:rsid w:val="002D2519"/>
    <w:rsid w:val="002D2AA1"/>
    <w:rsid w:val="002D2B65"/>
    <w:rsid w:val="002D2BF7"/>
    <w:rsid w:val="002D2F94"/>
    <w:rsid w:val="002D377B"/>
    <w:rsid w:val="002D4035"/>
    <w:rsid w:val="002D4520"/>
    <w:rsid w:val="002D4BA2"/>
    <w:rsid w:val="002D4C07"/>
    <w:rsid w:val="002D4D31"/>
    <w:rsid w:val="002D4EE6"/>
    <w:rsid w:val="002D500C"/>
    <w:rsid w:val="002D5195"/>
    <w:rsid w:val="002D5884"/>
    <w:rsid w:val="002D5BE8"/>
    <w:rsid w:val="002D5FB6"/>
    <w:rsid w:val="002D60BA"/>
    <w:rsid w:val="002D610B"/>
    <w:rsid w:val="002D6278"/>
    <w:rsid w:val="002D6779"/>
    <w:rsid w:val="002D67F3"/>
    <w:rsid w:val="002D689D"/>
    <w:rsid w:val="002D6BB6"/>
    <w:rsid w:val="002D6CD8"/>
    <w:rsid w:val="002D7187"/>
    <w:rsid w:val="002D727A"/>
    <w:rsid w:val="002D72CC"/>
    <w:rsid w:val="002D74DD"/>
    <w:rsid w:val="002D794A"/>
    <w:rsid w:val="002E0487"/>
    <w:rsid w:val="002E082C"/>
    <w:rsid w:val="002E08D1"/>
    <w:rsid w:val="002E093C"/>
    <w:rsid w:val="002E09CD"/>
    <w:rsid w:val="002E11E2"/>
    <w:rsid w:val="002E156D"/>
    <w:rsid w:val="002E1B11"/>
    <w:rsid w:val="002E2E39"/>
    <w:rsid w:val="002E3016"/>
    <w:rsid w:val="002E32A4"/>
    <w:rsid w:val="002E38BC"/>
    <w:rsid w:val="002E3EE0"/>
    <w:rsid w:val="002E4A65"/>
    <w:rsid w:val="002E4D1F"/>
    <w:rsid w:val="002E4FB3"/>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67"/>
    <w:rsid w:val="002E7578"/>
    <w:rsid w:val="002E765E"/>
    <w:rsid w:val="002E76E2"/>
    <w:rsid w:val="002E78FC"/>
    <w:rsid w:val="002E79C0"/>
    <w:rsid w:val="002E7B11"/>
    <w:rsid w:val="002F0232"/>
    <w:rsid w:val="002F052A"/>
    <w:rsid w:val="002F09E9"/>
    <w:rsid w:val="002F0A15"/>
    <w:rsid w:val="002F0A21"/>
    <w:rsid w:val="002F124D"/>
    <w:rsid w:val="002F147D"/>
    <w:rsid w:val="002F1DC3"/>
    <w:rsid w:val="002F214C"/>
    <w:rsid w:val="002F2222"/>
    <w:rsid w:val="002F22CC"/>
    <w:rsid w:val="002F23F7"/>
    <w:rsid w:val="002F25B1"/>
    <w:rsid w:val="002F2CF0"/>
    <w:rsid w:val="002F2E21"/>
    <w:rsid w:val="002F3228"/>
    <w:rsid w:val="002F3A91"/>
    <w:rsid w:val="002F3C7A"/>
    <w:rsid w:val="002F3FA0"/>
    <w:rsid w:val="002F437B"/>
    <w:rsid w:val="002F4476"/>
    <w:rsid w:val="002F4695"/>
    <w:rsid w:val="002F48D6"/>
    <w:rsid w:val="002F4C5D"/>
    <w:rsid w:val="002F4CC1"/>
    <w:rsid w:val="002F5E47"/>
    <w:rsid w:val="002F5FED"/>
    <w:rsid w:val="002F6278"/>
    <w:rsid w:val="002F62CB"/>
    <w:rsid w:val="002F6707"/>
    <w:rsid w:val="002F6775"/>
    <w:rsid w:val="002F7043"/>
    <w:rsid w:val="002F776A"/>
    <w:rsid w:val="002F7780"/>
    <w:rsid w:val="002F7BE9"/>
    <w:rsid w:val="002F7CC2"/>
    <w:rsid w:val="00300156"/>
    <w:rsid w:val="0030043B"/>
    <w:rsid w:val="00300935"/>
    <w:rsid w:val="00300C5D"/>
    <w:rsid w:val="0030106E"/>
    <w:rsid w:val="00301223"/>
    <w:rsid w:val="00301282"/>
    <w:rsid w:val="00301330"/>
    <w:rsid w:val="0030135F"/>
    <w:rsid w:val="00301957"/>
    <w:rsid w:val="00302017"/>
    <w:rsid w:val="0030286E"/>
    <w:rsid w:val="00302D07"/>
    <w:rsid w:val="00303392"/>
    <w:rsid w:val="003039E6"/>
    <w:rsid w:val="00303C80"/>
    <w:rsid w:val="00303E45"/>
    <w:rsid w:val="00303F5B"/>
    <w:rsid w:val="00304349"/>
    <w:rsid w:val="00304D2C"/>
    <w:rsid w:val="00304E2C"/>
    <w:rsid w:val="0030542F"/>
    <w:rsid w:val="00305899"/>
    <w:rsid w:val="003059CA"/>
    <w:rsid w:val="003062D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2C7C"/>
    <w:rsid w:val="00312D26"/>
    <w:rsid w:val="00313451"/>
    <w:rsid w:val="00313A14"/>
    <w:rsid w:val="00313AC4"/>
    <w:rsid w:val="00313C6D"/>
    <w:rsid w:val="00313EB3"/>
    <w:rsid w:val="0031403A"/>
    <w:rsid w:val="00314056"/>
    <w:rsid w:val="003140E2"/>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1E95"/>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298"/>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5B3"/>
    <w:rsid w:val="003329D3"/>
    <w:rsid w:val="00332DB3"/>
    <w:rsid w:val="00332F39"/>
    <w:rsid w:val="0033350B"/>
    <w:rsid w:val="00333641"/>
    <w:rsid w:val="003338C8"/>
    <w:rsid w:val="00334173"/>
    <w:rsid w:val="003343AA"/>
    <w:rsid w:val="0033494C"/>
    <w:rsid w:val="003359D0"/>
    <w:rsid w:val="00335C6B"/>
    <w:rsid w:val="00335D45"/>
    <w:rsid w:val="00335D9C"/>
    <w:rsid w:val="00335FD9"/>
    <w:rsid w:val="00335FEC"/>
    <w:rsid w:val="0033600D"/>
    <w:rsid w:val="003364B0"/>
    <w:rsid w:val="0033660F"/>
    <w:rsid w:val="0033684D"/>
    <w:rsid w:val="00336A20"/>
    <w:rsid w:val="00336FFE"/>
    <w:rsid w:val="003371ED"/>
    <w:rsid w:val="0033752C"/>
    <w:rsid w:val="003377AC"/>
    <w:rsid w:val="00337850"/>
    <w:rsid w:val="0033790D"/>
    <w:rsid w:val="0034010D"/>
    <w:rsid w:val="0034028C"/>
    <w:rsid w:val="00340BD2"/>
    <w:rsid w:val="003417BB"/>
    <w:rsid w:val="00341EDB"/>
    <w:rsid w:val="0034291E"/>
    <w:rsid w:val="00342C19"/>
    <w:rsid w:val="00342C7F"/>
    <w:rsid w:val="00343224"/>
    <w:rsid w:val="003433B6"/>
    <w:rsid w:val="003434ED"/>
    <w:rsid w:val="00343F46"/>
    <w:rsid w:val="0034408B"/>
    <w:rsid w:val="003441D8"/>
    <w:rsid w:val="003441FD"/>
    <w:rsid w:val="00344539"/>
    <w:rsid w:val="00344E46"/>
    <w:rsid w:val="00344ECB"/>
    <w:rsid w:val="00345172"/>
    <w:rsid w:val="00345288"/>
    <w:rsid w:val="00345B00"/>
    <w:rsid w:val="00345EBD"/>
    <w:rsid w:val="0034602B"/>
    <w:rsid w:val="003461B2"/>
    <w:rsid w:val="003464FF"/>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1EE2"/>
    <w:rsid w:val="00352136"/>
    <w:rsid w:val="00352BAD"/>
    <w:rsid w:val="00352C3E"/>
    <w:rsid w:val="00353048"/>
    <w:rsid w:val="00353507"/>
    <w:rsid w:val="0035372B"/>
    <w:rsid w:val="003538E6"/>
    <w:rsid w:val="00353AAB"/>
    <w:rsid w:val="003543CC"/>
    <w:rsid w:val="003546D9"/>
    <w:rsid w:val="00354B35"/>
    <w:rsid w:val="0035549E"/>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CBC"/>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5DBE"/>
    <w:rsid w:val="00366731"/>
    <w:rsid w:val="00366D27"/>
    <w:rsid w:val="003675B5"/>
    <w:rsid w:val="00367E11"/>
    <w:rsid w:val="00370214"/>
    <w:rsid w:val="003703B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145"/>
    <w:rsid w:val="00374679"/>
    <w:rsid w:val="0037489C"/>
    <w:rsid w:val="00374E79"/>
    <w:rsid w:val="0037540A"/>
    <w:rsid w:val="0037597D"/>
    <w:rsid w:val="00375A4C"/>
    <w:rsid w:val="00375AA7"/>
    <w:rsid w:val="00375D4F"/>
    <w:rsid w:val="00375ED2"/>
    <w:rsid w:val="003761EB"/>
    <w:rsid w:val="00376342"/>
    <w:rsid w:val="0037711F"/>
    <w:rsid w:val="003771A5"/>
    <w:rsid w:val="00377CDF"/>
    <w:rsid w:val="00380821"/>
    <w:rsid w:val="00380B1F"/>
    <w:rsid w:val="003810B1"/>
    <w:rsid w:val="0038176D"/>
    <w:rsid w:val="003817C3"/>
    <w:rsid w:val="00381BC4"/>
    <w:rsid w:val="00382341"/>
    <w:rsid w:val="00382699"/>
    <w:rsid w:val="003835FA"/>
    <w:rsid w:val="00384388"/>
    <w:rsid w:val="003845E9"/>
    <w:rsid w:val="00384660"/>
    <w:rsid w:val="00384CFE"/>
    <w:rsid w:val="0038586D"/>
    <w:rsid w:val="00385C9D"/>
    <w:rsid w:val="003861FA"/>
    <w:rsid w:val="00386653"/>
    <w:rsid w:val="00386944"/>
    <w:rsid w:val="0038695F"/>
    <w:rsid w:val="00386BA3"/>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23B"/>
    <w:rsid w:val="003A15C5"/>
    <w:rsid w:val="003A1BD2"/>
    <w:rsid w:val="003A1DA5"/>
    <w:rsid w:val="003A2280"/>
    <w:rsid w:val="003A299F"/>
    <w:rsid w:val="003A2B9E"/>
    <w:rsid w:val="003A2DD8"/>
    <w:rsid w:val="003A32DF"/>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C9A"/>
    <w:rsid w:val="003B5F94"/>
    <w:rsid w:val="003B62CD"/>
    <w:rsid w:val="003B6572"/>
    <w:rsid w:val="003B6CEE"/>
    <w:rsid w:val="003B6D43"/>
    <w:rsid w:val="003B6D8C"/>
    <w:rsid w:val="003B6E69"/>
    <w:rsid w:val="003B73F7"/>
    <w:rsid w:val="003B7453"/>
    <w:rsid w:val="003B76AB"/>
    <w:rsid w:val="003B787F"/>
    <w:rsid w:val="003B7C4C"/>
    <w:rsid w:val="003B7F46"/>
    <w:rsid w:val="003C05C2"/>
    <w:rsid w:val="003C07AE"/>
    <w:rsid w:val="003C09E8"/>
    <w:rsid w:val="003C0C68"/>
    <w:rsid w:val="003C0FE1"/>
    <w:rsid w:val="003C1021"/>
    <w:rsid w:val="003C24DA"/>
    <w:rsid w:val="003C3267"/>
    <w:rsid w:val="003C3403"/>
    <w:rsid w:val="003C362D"/>
    <w:rsid w:val="003C39CD"/>
    <w:rsid w:val="003C3D45"/>
    <w:rsid w:val="003C3D71"/>
    <w:rsid w:val="003C3F11"/>
    <w:rsid w:val="003C3FD5"/>
    <w:rsid w:val="003C5004"/>
    <w:rsid w:val="003C5336"/>
    <w:rsid w:val="003C56A1"/>
    <w:rsid w:val="003C570C"/>
    <w:rsid w:val="003C571F"/>
    <w:rsid w:val="003C574E"/>
    <w:rsid w:val="003C5AF7"/>
    <w:rsid w:val="003C6B95"/>
    <w:rsid w:val="003C76D2"/>
    <w:rsid w:val="003C7A9E"/>
    <w:rsid w:val="003C7ED7"/>
    <w:rsid w:val="003D0A0C"/>
    <w:rsid w:val="003D19EF"/>
    <w:rsid w:val="003D1C29"/>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7A4"/>
    <w:rsid w:val="003E0983"/>
    <w:rsid w:val="003E0CB3"/>
    <w:rsid w:val="003E1082"/>
    <w:rsid w:val="003E1296"/>
    <w:rsid w:val="003E138E"/>
    <w:rsid w:val="003E1398"/>
    <w:rsid w:val="003E16A6"/>
    <w:rsid w:val="003E16E0"/>
    <w:rsid w:val="003E1FED"/>
    <w:rsid w:val="003E20E7"/>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0B0"/>
    <w:rsid w:val="003E7395"/>
    <w:rsid w:val="003E79F0"/>
    <w:rsid w:val="003E7CE2"/>
    <w:rsid w:val="003E7FF4"/>
    <w:rsid w:val="003F01D8"/>
    <w:rsid w:val="003F0C85"/>
    <w:rsid w:val="003F0F42"/>
    <w:rsid w:val="003F1327"/>
    <w:rsid w:val="003F1B04"/>
    <w:rsid w:val="003F1C3B"/>
    <w:rsid w:val="003F1DA0"/>
    <w:rsid w:val="003F1DB6"/>
    <w:rsid w:val="003F26F4"/>
    <w:rsid w:val="003F29E3"/>
    <w:rsid w:val="003F2BAF"/>
    <w:rsid w:val="003F31B3"/>
    <w:rsid w:val="003F3219"/>
    <w:rsid w:val="003F33E9"/>
    <w:rsid w:val="003F34A7"/>
    <w:rsid w:val="003F3651"/>
    <w:rsid w:val="003F36D4"/>
    <w:rsid w:val="003F3801"/>
    <w:rsid w:val="003F3CD7"/>
    <w:rsid w:val="003F3F98"/>
    <w:rsid w:val="003F405D"/>
    <w:rsid w:val="003F43E2"/>
    <w:rsid w:val="003F4472"/>
    <w:rsid w:val="003F44CF"/>
    <w:rsid w:val="003F4581"/>
    <w:rsid w:val="003F56D4"/>
    <w:rsid w:val="003F5A2F"/>
    <w:rsid w:val="003F5B55"/>
    <w:rsid w:val="003F63E1"/>
    <w:rsid w:val="003F6C92"/>
    <w:rsid w:val="003F6ED2"/>
    <w:rsid w:val="003F701F"/>
    <w:rsid w:val="003F7C3A"/>
    <w:rsid w:val="003F7FEB"/>
    <w:rsid w:val="004003AC"/>
    <w:rsid w:val="0040054A"/>
    <w:rsid w:val="004006CB"/>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77"/>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778"/>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03FD"/>
    <w:rsid w:val="004410CA"/>
    <w:rsid w:val="004413F4"/>
    <w:rsid w:val="0044145D"/>
    <w:rsid w:val="004418C2"/>
    <w:rsid w:val="004418F2"/>
    <w:rsid w:val="00441D12"/>
    <w:rsid w:val="00441FF3"/>
    <w:rsid w:val="00442400"/>
    <w:rsid w:val="00442C2B"/>
    <w:rsid w:val="00442D02"/>
    <w:rsid w:val="00443283"/>
    <w:rsid w:val="00443882"/>
    <w:rsid w:val="00443B83"/>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595"/>
    <w:rsid w:val="00447CA5"/>
    <w:rsid w:val="00450175"/>
    <w:rsid w:val="00450472"/>
    <w:rsid w:val="004504A1"/>
    <w:rsid w:val="0045056F"/>
    <w:rsid w:val="00450727"/>
    <w:rsid w:val="004507BE"/>
    <w:rsid w:val="00450C22"/>
    <w:rsid w:val="00451311"/>
    <w:rsid w:val="00451443"/>
    <w:rsid w:val="004517C8"/>
    <w:rsid w:val="004518FC"/>
    <w:rsid w:val="00452261"/>
    <w:rsid w:val="004522B2"/>
    <w:rsid w:val="0045235D"/>
    <w:rsid w:val="00452567"/>
    <w:rsid w:val="00452D82"/>
    <w:rsid w:val="0045331B"/>
    <w:rsid w:val="004536E2"/>
    <w:rsid w:val="0045390E"/>
    <w:rsid w:val="00453C54"/>
    <w:rsid w:val="00453CAF"/>
    <w:rsid w:val="00454044"/>
    <w:rsid w:val="004540B9"/>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1705"/>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BE5"/>
    <w:rsid w:val="00467C46"/>
    <w:rsid w:val="00467C8F"/>
    <w:rsid w:val="004701D3"/>
    <w:rsid w:val="00470544"/>
    <w:rsid w:val="00470954"/>
    <w:rsid w:val="00470989"/>
    <w:rsid w:val="004709B8"/>
    <w:rsid w:val="00471059"/>
    <w:rsid w:val="0047237D"/>
    <w:rsid w:val="004724C4"/>
    <w:rsid w:val="00472C5A"/>
    <w:rsid w:val="00473B1A"/>
    <w:rsid w:val="00473B35"/>
    <w:rsid w:val="00473B7A"/>
    <w:rsid w:val="00473DDF"/>
    <w:rsid w:val="00473EE5"/>
    <w:rsid w:val="004742E1"/>
    <w:rsid w:val="00474346"/>
    <w:rsid w:val="004743B0"/>
    <w:rsid w:val="00474626"/>
    <w:rsid w:val="00474956"/>
    <w:rsid w:val="00474D87"/>
    <w:rsid w:val="00474DA5"/>
    <w:rsid w:val="004750E1"/>
    <w:rsid w:val="00475283"/>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349"/>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4FBF"/>
    <w:rsid w:val="0048510D"/>
    <w:rsid w:val="00485274"/>
    <w:rsid w:val="0048586E"/>
    <w:rsid w:val="00485EF7"/>
    <w:rsid w:val="00485F31"/>
    <w:rsid w:val="004866B4"/>
    <w:rsid w:val="00486923"/>
    <w:rsid w:val="004871A0"/>
    <w:rsid w:val="00487200"/>
    <w:rsid w:val="00487475"/>
    <w:rsid w:val="0048750C"/>
    <w:rsid w:val="00487710"/>
    <w:rsid w:val="00487733"/>
    <w:rsid w:val="0048781C"/>
    <w:rsid w:val="004879FD"/>
    <w:rsid w:val="00490021"/>
    <w:rsid w:val="0049009D"/>
    <w:rsid w:val="004900BE"/>
    <w:rsid w:val="00490991"/>
    <w:rsid w:val="00490A24"/>
    <w:rsid w:val="00490C33"/>
    <w:rsid w:val="00490E14"/>
    <w:rsid w:val="00490E27"/>
    <w:rsid w:val="00491267"/>
    <w:rsid w:val="004913CF"/>
    <w:rsid w:val="004913E5"/>
    <w:rsid w:val="004915D5"/>
    <w:rsid w:val="00491672"/>
    <w:rsid w:val="00491ADE"/>
    <w:rsid w:val="00491D73"/>
    <w:rsid w:val="00491E34"/>
    <w:rsid w:val="004920D9"/>
    <w:rsid w:val="00492649"/>
    <w:rsid w:val="004926D6"/>
    <w:rsid w:val="004927F0"/>
    <w:rsid w:val="0049307B"/>
    <w:rsid w:val="00493624"/>
    <w:rsid w:val="004936D6"/>
    <w:rsid w:val="004937E2"/>
    <w:rsid w:val="00493DC9"/>
    <w:rsid w:val="00494131"/>
    <w:rsid w:val="004941C0"/>
    <w:rsid w:val="00494422"/>
    <w:rsid w:val="004945E1"/>
    <w:rsid w:val="0049488C"/>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04A"/>
    <w:rsid w:val="004A05FB"/>
    <w:rsid w:val="004A0C47"/>
    <w:rsid w:val="004A0F66"/>
    <w:rsid w:val="004A150D"/>
    <w:rsid w:val="004A153A"/>
    <w:rsid w:val="004A1629"/>
    <w:rsid w:val="004A1CFA"/>
    <w:rsid w:val="004A1D64"/>
    <w:rsid w:val="004A2673"/>
    <w:rsid w:val="004A2CA4"/>
    <w:rsid w:val="004A2DF2"/>
    <w:rsid w:val="004A3809"/>
    <w:rsid w:val="004A398B"/>
    <w:rsid w:val="004A3E5D"/>
    <w:rsid w:val="004A3FF5"/>
    <w:rsid w:val="004A4207"/>
    <w:rsid w:val="004A42F7"/>
    <w:rsid w:val="004A44C0"/>
    <w:rsid w:val="004A4E75"/>
    <w:rsid w:val="004A5239"/>
    <w:rsid w:val="004A5363"/>
    <w:rsid w:val="004A5874"/>
    <w:rsid w:val="004A64FE"/>
    <w:rsid w:val="004A69C4"/>
    <w:rsid w:val="004A6AF9"/>
    <w:rsid w:val="004A736A"/>
    <w:rsid w:val="004A767F"/>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37F"/>
    <w:rsid w:val="004B5595"/>
    <w:rsid w:val="004B5D95"/>
    <w:rsid w:val="004B651D"/>
    <w:rsid w:val="004B6890"/>
    <w:rsid w:val="004B7187"/>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1D7B"/>
    <w:rsid w:val="004C2298"/>
    <w:rsid w:val="004C2F74"/>
    <w:rsid w:val="004C31F3"/>
    <w:rsid w:val="004C32EB"/>
    <w:rsid w:val="004C35C5"/>
    <w:rsid w:val="004C35DC"/>
    <w:rsid w:val="004C3C27"/>
    <w:rsid w:val="004C4048"/>
    <w:rsid w:val="004C40CC"/>
    <w:rsid w:val="004C42C4"/>
    <w:rsid w:val="004C49AA"/>
    <w:rsid w:val="004C4EA2"/>
    <w:rsid w:val="004C522D"/>
    <w:rsid w:val="004C5284"/>
    <w:rsid w:val="004C55A1"/>
    <w:rsid w:val="004C5976"/>
    <w:rsid w:val="004C5C34"/>
    <w:rsid w:val="004C6243"/>
    <w:rsid w:val="004C62C7"/>
    <w:rsid w:val="004C6434"/>
    <w:rsid w:val="004C69F7"/>
    <w:rsid w:val="004C6D16"/>
    <w:rsid w:val="004C6F24"/>
    <w:rsid w:val="004C71D6"/>
    <w:rsid w:val="004C78C2"/>
    <w:rsid w:val="004D095E"/>
    <w:rsid w:val="004D09DA"/>
    <w:rsid w:val="004D10F7"/>
    <w:rsid w:val="004D12E7"/>
    <w:rsid w:val="004D1D7A"/>
    <w:rsid w:val="004D1DB0"/>
    <w:rsid w:val="004D21D8"/>
    <w:rsid w:val="004D23F8"/>
    <w:rsid w:val="004D282B"/>
    <w:rsid w:val="004D2CF4"/>
    <w:rsid w:val="004D2D3C"/>
    <w:rsid w:val="004D2D53"/>
    <w:rsid w:val="004D3D6B"/>
    <w:rsid w:val="004D3EF9"/>
    <w:rsid w:val="004D4077"/>
    <w:rsid w:val="004D412A"/>
    <w:rsid w:val="004D4207"/>
    <w:rsid w:val="004D44FE"/>
    <w:rsid w:val="004D45E3"/>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78A"/>
    <w:rsid w:val="004D77BB"/>
    <w:rsid w:val="004D7DD9"/>
    <w:rsid w:val="004D7E3D"/>
    <w:rsid w:val="004E0261"/>
    <w:rsid w:val="004E0729"/>
    <w:rsid w:val="004E0D74"/>
    <w:rsid w:val="004E0FBE"/>
    <w:rsid w:val="004E0FF1"/>
    <w:rsid w:val="004E181A"/>
    <w:rsid w:val="004E19DB"/>
    <w:rsid w:val="004E1D2F"/>
    <w:rsid w:val="004E2306"/>
    <w:rsid w:val="004E2849"/>
    <w:rsid w:val="004E2BDF"/>
    <w:rsid w:val="004E2C37"/>
    <w:rsid w:val="004E30FA"/>
    <w:rsid w:val="004E3240"/>
    <w:rsid w:val="004E3753"/>
    <w:rsid w:val="004E381F"/>
    <w:rsid w:val="004E42F6"/>
    <w:rsid w:val="004E4320"/>
    <w:rsid w:val="004E451E"/>
    <w:rsid w:val="004E4845"/>
    <w:rsid w:val="004E5380"/>
    <w:rsid w:val="004E567A"/>
    <w:rsid w:val="004E5851"/>
    <w:rsid w:val="004E590B"/>
    <w:rsid w:val="004E6072"/>
    <w:rsid w:val="004E6648"/>
    <w:rsid w:val="004E6868"/>
    <w:rsid w:val="004E697A"/>
    <w:rsid w:val="004E6C49"/>
    <w:rsid w:val="004E7170"/>
    <w:rsid w:val="004E7364"/>
    <w:rsid w:val="004E765F"/>
    <w:rsid w:val="004E7A5B"/>
    <w:rsid w:val="004E7B7C"/>
    <w:rsid w:val="004E7CFE"/>
    <w:rsid w:val="004F00D4"/>
    <w:rsid w:val="004F0156"/>
    <w:rsid w:val="004F0889"/>
    <w:rsid w:val="004F0B10"/>
    <w:rsid w:val="004F1797"/>
    <w:rsid w:val="004F1BD0"/>
    <w:rsid w:val="004F1C7A"/>
    <w:rsid w:val="004F25F4"/>
    <w:rsid w:val="004F2ECB"/>
    <w:rsid w:val="004F3053"/>
    <w:rsid w:val="004F3085"/>
    <w:rsid w:val="004F319F"/>
    <w:rsid w:val="004F328A"/>
    <w:rsid w:val="004F337C"/>
    <w:rsid w:val="004F3B6D"/>
    <w:rsid w:val="004F45ED"/>
    <w:rsid w:val="004F4820"/>
    <w:rsid w:val="004F50E7"/>
    <w:rsid w:val="004F5852"/>
    <w:rsid w:val="004F592B"/>
    <w:rsid w:val="004F5A72"/>
    <w:rsid w:val="004F5F2E"/>
    <w:rsid w:val="004F5F52"/>
    <w:rsid w:val="004F600B"/>
    <w:rsid w:val="004F6392"/>
    <w:rsid w:val="004F6759"/>
    <w:rsid w:val="004F68E3"/>
    <w:rsid w:val="004F6AE7"/>
    <w:rsid w:val="004F70A4"/>
    <w:rsid w:val="004F7427"/>
    <w:rsid w:val="004F742B"/>
    <w:rsid w:val="004F753A"/>
    <w:rsid w:val="004F76C3"/>
    <w:rsid w:val="004F7C80"/>
    <w:rsid w:val="004F7E8E"/>
    <w:rsid w:val="0050011F"/>
    <w:rsid w:val="0050095C"/>
    <w:rsid w:val="00500B18"/>
    <w:rsid w:val="00501B6C"/>
    <w:rsid w:val="00502783"/>
    <w:rsid w:val="00502B94"/>
    <w:rsid w:val="005030D4"/>
    <w:rsid w:val="00503AE2"/>
    <w:rsid w:val="00503D93"/>
    <w:rsid w:val="00503E19"/>
    <w:rsid w:val="00504107"/>
    <w:rsid w:val="0050488C"/>
    <w:rsid w:val="00505155"/>
    <w:rsid w:val="0050556D"/>
    <w:rsid w:val="0050581D"/>
    <w:rsid w:val="005067E9"/>
    <w:rsid w:val="0050687D"/>
    <w:rsid w:val="005068F0"/>
    <w:rsid w:val="00506F90"/>
    <w:rsid w:val="00506F99"/>
    <w:rsid w:val="00507252"/>
    <w:rsid w:val="005076E8"/>
    <w:rsid w:val="00507773"/>
    <w:rsid w:val="005079D8"/>
    <w:rsid w:val="0051003E"/>
    <w:rsid w:val="005101F5"/>
    <w:rsid w:val="00511013"/>
    <w:rsid w:val="005110E1"/>
    <w:rsid w:val="00511417"/>
    <w:rsid w:val="005117B1"/>
    <w:rsid w:val="00511CA2"/>
    <w:rsid w:val="00511DFA"/>
    <w:rsid w:val="00511E27"/>
    <w:rsid w:val="005122CE"/>
    <w:rsid w:val="00512580"/>
    <w:rsid w:val="00512695"/>
    <w:rsid w:val="005127E0"/>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EB3"/>
    <w:rsid w:val="00517FD2"/>
    <w:rsid w:val="005201FC"/>
    <w:rsid w:val="0052033D"/>
    <w:rsid w:val="00520B5F"/>
    <w:rsid w:val="00520F73"/>
    <w:rsid w:val="00521341"/>
    <w:rsid w:val="00521650"/>
    <w:rsid w:val="005218CE"/>
    <w:rsid w:val="005218E6"/>
    <w:rsid w:val="00521D0C"/>
    <w:rsid w:val="005220D2"/>
    <w:rsid w:val="00522400"/>
    <w:rsid w:val="0052304D"/>
    <w:rsid w:val="005231E2"/>
    <w:rsid w:val="00523251"/>
    <w:rsid w:val="00523620"/>
    <w:rsid w:val="00523757"/>
    <w:rsid w:val="005237EE"/>
    <w:rsid w:val="005239C2"/>
    <w:rsid w:val="00523F7A"/>
    <w:rsid w:val="00523FDB"/>
    <w:rsid w:val="005244CA"/>
    <w:rsid w:val="005245BE"/>
    <w:rsid w:val="00524F04"/>
    <w:rsid w:val="00524FBD"/>
    <w:rsid w:val="00525CCE"/>
    <w:rsid w:val="00525DB8"/>
    <w:rsid w:val="0052608E"/>
    <w:rsid w:val="00526220"/>
    <w:rsid w:val="005264DA"/>
    <w:rsid w:val="00526A86"/>
    <w:rsid w:val="00526ADD"/>
    <w:rsid w:val="00526DD2"/>
    <w:rsid w:val="005270AA"/>
    <w:rsid w:val="0052758B"/>
    <w:rsid w:val="00527819"/>
    <w:rsid w:val="005308F8"/>
    <w:rsid w:val="00530AEA"/>
    <w:rsid w:val="00530EB6"/>
    <w:rsid w:val="005312B8"/>
    <w:rsid w:val="005317D0"/>
    <w:rsid w:val="00531A76"/>
    <w:rsid w:val="005321FB"/>
    <w:rsid w:val="0053237C"/>
    <w:rsid w:val="0053250E"/>
    <w:rsid w:val="00532704"/>
    <w:rsid w:val="00532931"/>
    <w:rsid w:val="00532AF8"/>
    <w:rsid w:val="005337A7"/>
    <w:rsid w:val="00533C6B"/>
    <w:rsid w:val="00533E19"/>
    <w:rsid w:val="005342F5"/>
    <w:rsid w:val="00534485"/>
    <w:rsid w:val="005345B9"/>
    <w:rsid w:val="00535185"/>
    <w:rsid w:val="0053546D"/>
    <w:rsid w:val="00535AC2"/>
    <w:rsid w:val="00535C02"/>
    <w:rsid w:val="00536595"/>
    <w:rsid w:val="0053661E"/>
    <w:rsid w:val="005369C2"/>
    <w:rsid w:val="00536B5C"/>
    <w:rsid w:val="0053711E"/>
    <w:rsid w:val="00537131"/>
    <w:rsid w:val="00537A86"/>
    <w:rsid w:val="00537D44"/>
    <w:rsid w:val="005402E2"/>
    <w:rsid w:val="0054083E"/>
    <w:rsid w:val="00540C91"/>
    <w:rsid w:val="00540EDF"/>
    <w:rsid w:val="0054100F"/>
    <w:rsid w:val="005416E7"/>
    <w:rsid w:val="00542408"/>
    <w:rsid w:val="0054288C"/>
    <w:rsid w:val="00542EBB"/>
    <w:rsid w:val="0054319A"/>
    <w:rsid w:val="00543212"/>
    <w:rsid w:val="0054367B"/>
    <w:rsid w:val="00543809"/>
    <w:rsid w:val="00543B88"/>
    <w:rsid w:val="00543C53"/>
    <w:rsid w:val="00543ED2"/>
    <w:rsid w:val="00544903"/>
    <w:rsid w:val="00544F2D"/>
    <w:rsid w:val="00544FC5"/>
    <w:rsid w:val="00545022"/>
    <w:rsid w:val="005453A8"/>
    <w:rsid w:val="00545EC5"/>
    <w:rsid w:val="005464E9"/>
    <w:rsid w:val="00546680"/>
    <w:rsid w:val="00546750"/>
    <w:rsid w:val="00546CB6"/>
    <w:rsid w:val="005471BF"/>
    <w:rsid w:val="005472A9"/>
    <w:rsid w:val="00547350"/>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D2E"/>
    <w:rsid w:val="00553E7A"/>
    <w:rsid w:val="0055423C"/>
    <w:rsid w:val="0055477E"/>
    <w:rsid w:val="0055499E"/>
    <w:rsid w:val="00554C08"/>
    <w:rsid w:val="00554DF7"/>
    <w:rsid w:val="00554EFF"/>
    <w:rsid w:val="005550CB"/>
    <w:rsid w:val="00555198"/>
    <w:rsid w:val="00555263"/>
    <w:rsid w:val="0055549D"/>
    <w:rsid w:val="0055594B"/>
    <w:rsid w:val="00555AAD"/>
    <w:rsid w:val="00555B74"/>
    <w:rsid w:val="00555CDB"/>
    <w:rsid w:val="00555E7D"/>
    <w:rsid w:val="00555FC1"/>
    <w:rsid w:val="005561B1"/>
    <w:rsid w:val="00556332"/>
    <w:rsid w:val="00556DE0"/>
    <w:rsid w:val="00556E77"/>
    <w:rsid w:val="00556E84"/>
    <w:rsid w:val="00556FD9"/>
    <w:rsid w:val="00557B1A"/>
    <w:rsid w:val="005605C4"/>
    <w:rsid w:val="0056088B"/>
    <w:rsid w:val="005608E6"/>
    <w:rsid w:val="0056110C"/>
    <w:rsid w:val="005611BD"/>
    <w:rsid w:val="0056138E"/>
    <w:rsid w:val="005614F6"/>
    <w:rsid w:val="00561BE1"/>
    <w:rsid w:val="00561E8E"/>
    <w:rsid w:val="00561F8D"/>
    <w:rsid w:val="0056210C"/>
    <w:rsid w:val="0056254F"/>
    <w:rsid w:val="005630B7"/>
    <w:rsid w:val="00563A27"/>
    <w:rsid w:val="0056425D"/>
    <w:rsid w:val="0056487E"/>
    <w:rsid w:val="00564A33"/>
    <w:rsid w:val="005651FC"/>
    <w:rsid w:val="00565478"/>
    <w:rsid w:val="00565689"/>
    <w:rsid w:val="00565CF9"/>
    <w:rsid w:val="00566162"/>
    <w:rsid w:val="005661D3"/>
    <w:rsid w:val="00566422"/>
    <w:rsid w:val="00566B5B"/>
    <w:rsid w:val="00566B9E"/>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816"/>
    <w:rsid w:val="00572AA3"/>
    <w:rsid w:val="00572B0E"/>
    <w:rsid w:val="005736E0"/>
    <w:rsid w:val="00574007"/>
    <w:rsid w:val="0057465B"/>
    <w:rsid w:val="0057486B"/>
    <w:rsid w:val="005753FE"/>
    <w:rsid w:val="00575674"/>
    <w:rsid w:val="0057581E"/>
    <w:rsid w:val="00575A13"/>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4E16"/>
    <w:rsid w:val="00584EC4"/>
    <w:rsid w:val="0058501F"/>
    <w:rsid w:val="00585525"/>
    <w:rsid w:val="00585538"/>
    <w:rsid w:val="0058570E"/>
    <w:rsid w:val="0058574F"/>
    <w:rsid w:val="00585767"/>
    <w:rsid w:val="00585D96"/>
    <w:rsid w:val="00586036"/>
    <w:rsid w:val="005860CF"/>
    <w:rsid w:val="00586136"/>
    <w:rsid w:val="005861E2"/>
    <w:rsid w:val="00586AE1"/>
    <w:rsid w:val="00586D72"/>
    <w:rsid w:val="0058706F"/>
    <w:rsid w:val="0058760C"/>
    <w:rsid w:val="00590484"/>
    <w:rsid w:val="00590A99"/>
    <w:rsid w:val="00590E36"/>
    <w:rsid w:val="00590F71"/>
    <w:rsid w:val="00590FFB"/>
    <w:rsid w:val="0059116E"/>
    <w:rsid w:val="00591E7A"/>
    <w:rsid w:val="00591FF0"/>
    <w:rsid w:val="00592518"/>
    <w:rsid w:val="00592632"/>
    <w:rsid w:val="00592A07"/>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848"/>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552"/>
    <w:rsid w:val="005C07E5"/>
    <w:rsid w:val="005C0840"/>
    <w:rsid w:val="005C10C3"/>
    <w:rsid w:val="005C125F"/>
    <w:rsid w:val="005C13F8"/>
    <w:rsid w:val="005C14E3"/>
    <w:rsid w:val="005C176B"/>
    <w:rsid w:val="005C1F21"/>
    <w:rsid w:val="005C24AA"/>
    <w:rsid w:val="005C3623"/>
    <w:rsid w:val="005C3B25"/>
    <w:rsid w:val="005C3CBD"/>
    <w:rsid w:val="005C3EFB"/>
    <w:rsid w:val="005C41EA"/>
    <w:rsid w:val="005C44C7"/>
    <w:rsid w:val="005C4691"/>
    <w:rsid w:val="005C4733"/>
    <w:rsid w:val="005C5858"/>
    <w:rsid w:val="005C5A60"/>
    <w:rsid w:val="005C5ACE"/>
    <w:rsid w:val="005C6842"/>
    <w:rsid w:val="005C68E9"/>
    <w:rsid w:val="005C6BF8"/>
    <w:rsid w:val="005C6C10"/>
    <w:rsid w:val="005C6F4B"/>
    <w:rsid w:val="005C6FBB"/>
    <w:rsid w:val="005C7362"/>
    <w:rsid w:val="005C7950"/>
    <w:rsid w:val="005C7953"/>
    <w:rsid w:val="005C7BCD"/>
    <w:rsid w:val="005C7CF1"/>
    <w:rsid w:val="005C7ED4"/>
    <w:rsid w:val="005D005D"/>
    <w:rsid w:val="005D0116"/>
    <w:rsid w:val="005D0491"/>
    <w:rsid w:val="005D06A4"/>
    <w:rsid w:val="005D06C0"/>
    <w:rsid w:val="005D07DD"/>
    <w:rsid w:val="005D0D1A"/>
    <w:rsid w:val="005D0F2E"/>
    <w:rsid w:val="005D1015"/>
    <w:rsid w:val="005D13A0"/>
    <w:rsid w:val="005D1C72"/>
    <w:rsid w:val="005D2007"/>
    <w:rsid w:val="005D2256"/>
    <w:rsid w:val="005D26B8"/>
    <w:rsid w:val="005D2ED9"/>
    <w:rsid w:val="005D3067"/>
    <w:rsid w:val="005D395A"/>
    <w:rsid w:val="005D3B99"/>
    <w:rsid w:val="005D3BA3"/>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33C"/>
    <w:rsid w:val="005E555E"/>
    <w:rsid w:val="005E55FC"/>
    <w:rsid w:val="005E56F5"/>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057"/>
    <w:rsid w:val="005F2513"/>
    <w:rsid w:val="005F2D82"/>
    <w:rsid w:val="005F2ED3"/>
    <w:rsid w:val="005F2F80"/>
    <w:rsid w:val="005F40AA"/>
    <w:rsid w:val="005F4664"/>
    <w:rsid w:val="005F478F"/>
    <w:rsid w:val="005F4CDA"/>
    <w:rsid w:val="005F4EF0"/>
    <w:rsid w:val="005F5147"/>
    <w:rsid w:val="005F519C"/>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12D"/>
    <w:rsid w:val="0060039F"/>
    <w:rsid w:val="006006BC"/>
    <w:rsid w:val="0060085C"/>
    <w:rsid w:val="00600E6D"/>
    <w:rsid w:val="00601204"/>
    <w:rsid w:val="006013F9"/>
    <w:rsid w:val="0060145B"/>
    <w:rsid w:val="00601704"/>
    <w:rsid w:val="006017D6"/>
    <w:rsid w:val="006022B0"/>
    <w:rsid w:val="0060261A"/>
    <w:rsid w:val="00602A86"/>
    <w:rsid w:val="006032E4"/>
    <w:rsid w:val="00603932"/>
    <w:rsid w:val="00603A8D"/>
    <w:rsid w:val="00603BC9"/>
    <w:rsid w:val="00603D2F"/>
    <w:rsid w:val="00604377"/>
    <w:rsid w:val="00604BE2"/>
    <w:rsid w:val="00604C44"/>
    <w:rsid w:val="00604C76"/>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974"/>
    <w:rsid w:val="00611EED"/>
    <w:rsid w:val="006122C1"/>
    <w:rsid w:val="006122D7"/>
    <w:rsid w:val="006123CD"/>
    <w:rsid w:val="0061273F"/>
    <w:rsid w:val="006127BC"/>
    <w:rsid w:val="006127CC"/>
    <w:rsid w:val="00612E37"/>
    <w:rsid w:val="00613052"/>
    <w:rsid w:val="006130B6"/>
    <w:rsid w:val="00613232"/>
    <w:rsid w:val="0061335D"/>
    <w:rsid w:val="006134BC"/>
    <w:rsid w:val="006135BF"/>
    <w:rsid w:val="0061390E"/>
    <w:rsid w:val="00613C3A"/>
    <w:rsid w:val="00613DCF"/>
    <w:rsid w:val="00614076"/>
    <w:rsid w:val="006146AF"/>
    <w:rsid w:val="006149FE"/>
    <w:rsid w:val="00614C2C"/>
    <w:rsid w:val="00614D4E"/>
    <w:rsid w:val="00614F44"/>
    <w:rsid w:val="00615053"/>
    <w:rsid w:val="006157AC"/>
    <w:rsid w:val="00615CF4"/>
    <w:rsid w:val="006161EE"/>
    <w:rsid w:val="00616220"/>
    <w:rsid w:val="00616865"/>
    <w:rsid w:val="00617731"/>
    <w:rsid w:val="00617780"/>
    <w:rsid w:val="006179A5"/>
    <w:rsid w:val="006201F3"/>
    <w:rsid w:val="00620A2B"/>
    <w:rsid w:val="00620B76"/>
    <w:rsid w:val="00620EA7"/>
    <w:rsid w:val="006224BC"/>
    <w:rsid w:val="00622640"/>
    <w:rsid w:val="006234BC"/>
    <w:rsid w:val="00623670"/>
    <w:rsid w:val="00623C77"/>
    <w:rsid w:val="006242A6"/>
    <w:rsid w:val="006242FF"/>
    <w:rsid w:val="00624D92"/>
    <w:rsid w:val="00624E2A"/>
    <w:rsid w:val="006256B8"/>
    <w:rsid w:val="00625AF9"/>
    <w:rsid w:val="00625C32"/>
    <w:rsid w:val="00625ECE"/>
    <w:rsid w:val="006264B0"/>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6E8"/>
    <w:rsid w:val="00636CE4"/>
    <w:rsid w:val="00637458"/>
    <w:rsid w:val="006374BD"/>
    <w:rsid w:val="00637683"/>
    <w:rsid w:val="00637888"/>
    <w:rsid w:val="00637B46"/>
    <w:rsid w:val="00637F9A"/>
    <w:rsid w:val="00637FB3"/>
    <w:rsid w:val="00640177"/>
    <w:rsid w:val="00640A0F"/>
    <w:rsid w:val="00641925"/>
    <w:rsid w:val="00641926"/>
    <w:rsid w:val="00641CA2"/>
    <w:rsid w:val="00641EEC"/>
    <w:rsid w:val="00642285"/>
    <w:rsid w:val="006428FE"/>
    <w:rsid w:val="006429D8"/>
    <w:rsid w:val="00642AB4"/>
    <w:rsid w:val="00642B63"/>
    <w:rsid w:val="006433B8"/>
    <w:rsid w:val="00643409"/>
    <w:rsid w:val="00643545"/>
    <w:rsid w:val="006435CE"/>
    <w:rsid w:val="006437FA"/>
    <w:rsid w:val="00643826"/>
    <w:rsid w:val="00643A26"/>
    <w:rsid w:val="00643A31"/>
    <w:rsid w:val="00643B45"/>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42C"/>
    <w:rsid w:val="00650623"/>
    <w:rsid w:val="00650889"/>
    <w:rsid w:val="006509E6"/>
    <w:rsid w:val="00650A2C"/>
    <w:rsid w:val="00650F3A"/>
    <w:rsid w:val="00650F5E"/>
    <w:rsid w:val="00651151"/>
    <w:rsid w:val="00651696"/>
    <w:rsid w:val="00651843"/>
    <w:rsid w:val="00651859"/>
    <w:rsid w:val="0065199C"/>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E15"/>
    <w:rsid w:val="00660F5C"/>
    <w:rsid w:val="006611C8"/>
    <w:rsid w:val="00661433"/>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7E6"/>
    <w:rsid w:val="00665957"/>
    <w:rsid w:val="006660F9"/>
    <w:rsid w:val="006668C2"/>
    <w:rsid w:val="00666946"/>
    <w:rsid w:val="006669F9"/>
    <w:rsid w:val="0066740B"/>
    <w:rsid w:val="006674B4"/>
    <w:rsid w:val="006675CF"/>
    <w:rsid w:val="006700BE"/>
    <w:rsid w:val="00670428"/>
    <w:rsid w:val="00670870"/>
    <w:rsid w:val="006709B2"/>
    <w:rsid w:val="00670A6E"/>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231"/>
    <w:rsid w:val="00677B0F"/>
    <w:rsid w:val="00677FF6"/>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B62"/>
    <w:rsid w:val="00684F60"/>
    <w:rsid w:val="00685061"/>
    <w:rsid w:val="0068686B"/>
    <w:rsid w:val="006869A9"/>
    <w:rsid w:val="006873B6"/>
    <w:rsid w:val="006904F1"/>
    <w:rsid w:val="0069050E"/>
    <w:rsid w:val="00690D62"/>
    <w:rsid w:val="0069117F"/>
    <w:rsid w:val="00691D6F"/>
    <w:rsid w:val="006920E6"/>
    <w:rsid w:val="006925CE"/>
    <w:rsid w:val="006925DD"/>
    <w:rsid w:val="006926B1"/>
    <w:rsid w:val="006928C5"/>
    <w:rsid w:val="006929ED"/>
    <w:rsid w:val="00692B83"/>
    <w:rsid w:val="00692DA0"/>
    <w:rsid w:val="006934AB"/>
    <w:rsid w:val="0069357D"/>
    <w:rsid w:val="0069358C"/>
    <w:rsid w:val="00693CAD"/>
    <w:rsid w:val="00693E6C"/>
    <w:rsid w:val="00693ED3"/>
    <w:rsid w:val="0069437F"/>
    <w:rsid w:val="00694989"/>
    <w:rsid w:val="00694ACD"/>
    <w:rsid w:val="00694B5B"/>
    <w:rsid w:val="00694DA3"/>
    <w:rsid w:val="00694F03"/>
    <w:rsid w:val="00694F8C"/>
    <w:rsid w:val="0069501D"/>
    <w:rsid w:val="00695CF6"/>
    <w:rsid w:val="006960F5"/>
    <w:rsid w:val="00696A75"/>
    <w:rsid w:val="00696B5D"/>
    <w:rsid w:val="00696C45"/>
    <w:rsid w:val="00696E31"/>
    <w:rsid w:val="00697032"/>
    <w:rsid w:val="0069712C"/>
    <w:rsid w:val="006974EA"/>
    <w:rsid w:val="00697704"/>
    <w:rsid w:val="00697980"/>
    <w:rsid w:val="006979BC"/>
    <w:rsid w:val="00697A12"/>
    <w:rsid w:val="00697E9B"/>
    <w:rsid w:val="006A0160"/>
    <w:rsid w:val="006A025B"/>
    <w:rsid w:val="006A049C"/>
    <w:rsid w:val="006A04FA"/>
    <w:rsid w:val="006A0558"/>
    <w:rsid w:val="006A06C9"/>
    <w:rsid w:val="006A0845"/>
    <w:rsid w:val="006A0E97"/>
    <w:rsid w:val="006A1116"/>
    <w:rsid w:val="006A19ED"/>
    <w:rsid w:val="006A1E3B"/>
    <w:rsid w:val="006A2090"/>
    <w:rsid w:val="006A22C7"/>
    <w:rsid w:val="006A2CA1"/>
    <w:rsid w:val="006A2F0E"/>
    <w:rsid w:val="006A2FDF"/>
    <w:rsid w:val="006A3375"/>
    <w:rsid w:val="006A37ED"/>
    <w:rsid w:val="006A3964"/>
    <w:rsid w:val="006A3A27"/>
    <w:rsid w:val="006A40B1"/>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1F"/>
    <w:rsid w:val="006B008C"/>
    <w:rsid w:val="006B0855"/>
    <w:rsid w:val="006B0B90"/>
    <w:rsid w:val="006B0C14"/>
    <w:rsid w:val="006B13A6"/>
    <w:rsid w:val="006B1695"/>
    <w:rsid w:val="006B230D"/>
    <w:rsid w:val="006B2B1E"/>
    <w:rsid w:val="006B2BD9"/>
    <w:rsid w:val="006B31E5"/>
    <w:rsid w:val="006B3234"/>
    <w:rsid w:val="006B34A1"/>
    <w:rsid w:val="006B3D50"/>
    <w:rsid w:val="006B40AA"/>
    <w:rsid w:val="006B417E"/>
    <w:rsid w:val="006B4A0C"/>
    <w:rsid w:val="006B4A53"/>
    <w:rsid w:val="006B4A5C"/>
    <w:rsid w:val="006B51ED"/>
    <w:rsid w:val="006B5409"/>
    <w:rsid w:val="006B5532"/>
    <w:rsid w:val="006B55AA"/>
    <w:rsid w:val="006B5B61"/>
    <w:rsid w:val="006B6339"/>
    <w:rsid w:val="006B6589"/>
    <w:rsid w:val="006B663F"/>
    <w:rsid w:val="006B68C1"/>
    <w:rsid w:val="006B6C86"/>
    <w:rsid w:val="006B6CC2"/>
    <w:rsid w:val="006B72F9"/>
    <w:rsid w:val="006B77D3"/>
    <w:rsid w:val="006C00B3"/>
    <w:rsid w:val="006C087D"/>
    <w:rsid w:val="006C0A56"/>
    <w:rsid w:val="006C0E04"/>
    <w:rsid w:val="006C0F64"/>
    <w:rsid w:val="006C12B2"/>
    <w:rsid w:val="006C142E"/>
    <w:rsid w:val="006C17D1"/>
    <w:rsid w:val="006C1F22"/>
    <w:rsid w:val="006C2996"/>
    <w:rsid w:val="006C29CE"/>
    <w:rsid w:val="006C3100"/>
    <w:rsid w:val="006C3241"/>
    <w:rsid w:val="006C3673"/>
    <w:rsid w:val="006C387D"/>
    <w:rsid w:val="006C3B7A"/>
    <w:rsid w:val="006C3D77"/>
    <w:rsid w:val="006C3F79"/>
    <w:rsid w:val="006C400E"/>
    <w:rsid w:val="006C595F"/>
    <w:rsid w:val="006C632F"/>
    <w:rsid w:val="006C656D"/>
    <w:rsid w:val="006C65E2"/>
    <w:rsid w:val="006C6B7C"/>
    <w:rsid w:val="006C6DFE"/>
    <w:rsid w:val="006C6EB3"/>
    <w:rsid w:val="006C703C"/>
    <w:rsid w:val="006C7318"/>
    <w:rsid w:val="006C7F83"/>
    <w:rsid w:val="006D06B6"/>
    <w:rsid w:val="006D07E2"/>
    <w:rsid w:val="006D1274"/>
    <w:rsid w:val="006D19C1"/>
    <w:rsid w:val="006D1BF5"/>
    <w:rsid w:val="006D1C39"/>
    <w:rsid w:val="006D1E35"/>
    <w:rsid w:val="006D2321"/>
    <w:rsid w:val="006D2491"/>
    <w:rsid w:val="006D24A8"/>
    <w:rsid w:val="006D2777"/>
    <w:rsid w:val="006D27F4"/>
    <w:rsid w:val="006D2B86"/>
    <w:rsid w:val="006D335B"/>
    <w:rsid w:val="006D3528"/>
    <w:rsid w:val="006D3547"/>
    <w:rsid w:val="006D3815"/>
    <w:rsid w:val="006D3F39"/>
    <w:rsid w:val="006D42CD"/>
    <w:rsid w:val="006D452D"/>
    <w:rsid w:val="006D4629"/>
    <w:rsid w:val="006D4781"/>
    <w:rsid w:val="006D4893"/>
    <w:rsid w:val="006D4B9E"/>
    <w:rsid w:val="006D526D"/>
    <w:rsid w:val="006D52CF"/>
    <w:rsid w:val="006D5657"/>
    <w:rsid w:val="006D5711"/>
    <w:rsid w:val="006D5801"/>
    <w:rsid w:val="006D5962"/>
    <w:rsid w:val="006D5C94"/>
    <w:rsid w:val="006D62B2"/>
    <w:rsid w:val="006D6782"/>
    <w:rsid w:val="006D6F6E"/>
    <w:rsid w:val="006D76D6"/>
    <w:rsid w:val="006D7963"/>
    <w:rsid w:val="006D79DA"/>
    <w:rsid w:val="006E0276"/>
    <w:rsid w:val="006E04C6"/>
    <w:rsid w:val="006E085D"/>
    <w:rsid w:val="006E0951"/>
    <w:rsid w:val="006E0ECE"/>
    <w:rsid w:val="006E134A"/>
    <w:rsid w:val="006E151D"/>
    <w:rsid w:val="006E19CD"/>
    <w:rsid w:val="006E1C36"/>
    <w:rsid w:val="006E2528"/>
    <w:rsid w:val="006E252A"/>
    <w:rsid w:val="006E28A9"/>
    <w:rsid w:val="006E2E2E"/>
    <w:rsid w:val="006E328A"/>
    <w:rsid w:val="006E3359"/>
    <w:rsid w:val="006E3530"/>
    <w:rsid w:val="006E3A9E"/>
    <w:rsid w:val="006E3B33"/>
    <w:rsid w:val="006E411F"/>
    <w:rsid w:val="006E4CD8"/>
    <w:rsid w:val="006E4EA0"/>
    <w:rsid w:val="006E55DC"/>
    <w:rsid w:val="006E58AB"/>
    <w:rsid w:val="006E59AF"/>
    <w:rsid w:val="006E5EB7"/>
    <w:rsid w:val="006E62B8"/>
    <w:rsid w:val="006E62BA"/>
    <w:rsid w:val="006E6961"/>
    <w:rsid w:val="006E6CDE"/>
    <w:rsid w:val="006E6EC7"/>
    <w:rsid w:val="006E70F2"/>
    <w:rsid w:val="006E72A9"/>
    <w:rsid w:val="006E75C9"/>
    <w:rsid w:val="006E7FE2"/>
    <w:rsid w:val="006F0287"/>
    <w:rsid w:val="006F0ADF"/>
    <w:rsid w:val="006F11AA"/>
    <w:rsid w:val="006F11E9"/>
    <w:rsid w:val="006F1265"/>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82D"/>
    <w:rsid w:val="00701A1E"/>
    <w:rsid w:val="00701BF3"/>
    <w:rsid w:val="007020AC"/>
    <w:rsid w:val="007022B6"/>
    <w:rsid w:val="00702386"/>
    <w:rsid w:val="0070248D"/>
    <w:rsid w:val="00702BBF"/>
    <w:rsid w:val="00702DB9"/>
    <w:rsid w:val="00702EF2"/>
    <w:rsid w:val="00702F01"/>
    <w:rsid w:val="0070343D"/>
    <w:rsid w:val="007034FA"/>
    <w:rsid w:val="00704FAF"/>
    <w:rsid w:val="00705211"/>
    <w:rsid w:val="00705BD7"/>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A00"/>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17E1B"/>
    <w:rsid w:val="0072016A"/>
    <w:rsid w:val="00721024"/>
    <w:rsid w:val="00721038"/>
    <w:rsid w:val="00721348"/>
    <w:rsid w:val="0072150D"/>
    <w:rsid w:val="007229CE"/>
    <w:rsid w:val="00722B8A"/>
    <w:rsid w:val="00722C37"/>
    <w:rsid w:val="00722DDC"/>
    <w:rsid w:val="0072338F"/>
    <w:rsid w:val="007233E0"/>
    <w:rsid w:val="007234BF"/>
    <w:rsid w:val="00723E3D"/>
    <w:rsid w:val="00724A52"/>
    <w:rsid w:val="00724BD7"/>
    <w:rsid w:val="00725667"/>
    <w:rsid w:val="00725A9A"/>
    <w:rsid w:val="00725AA2"/>
    <w:rsid w:val="00726066"/>
    <w:rsid w:val="00726807"/>
    <w:rsid w:val="00726B14"/>
    <w:rsid w:val="00726CE9"/>
    <w:rsid w:val="00726E21"/>
    <w:rsid w:val="00726E46"/>
    <w:rsid w:val="00727092"/>
    <w:rsid w:val="007271E1"/>
    <w:rsid w:val="007275CA"/>
    <w:rsid w:val="00727D03"/>
    <w:rsid w:val="00730280"/>
    <w:rsid w:val="007302DA"/>
    <w:rsid w:val="00730A00"/>
    <w:rsid w:val="00730CDA"/>
    <w:rsid w:val="007312B9"/>
    <w:rsid w:val="00731AF9"/>
    <w:rsid w:val="00731DA9"/>
    <w:rsid w:val="00731FA7"/>
    <w:rsid w:val="0073214F"/>
    <w:rsid w:val="00733515"/>
    <w:rsid w:val="007339AE"/>
    <w:rsid w:val="00733A03"/>
    <w:rsid w:val="00733B12"/>
    <w:rsid w:val="00733D59"/>
    <w:rsid w:val="00733DDC"/>
    <w:rsid w:val="00734141"/>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1A3"/>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498"/>
    <w:rsid w:val="007515C1"/>
    <w:rsid w:val="00751F63"/>
    <w:rsid w:val="00752108"/>
    <w:rsid w:val="007521BD"/>
    <w:rsid w:val="007521DA"/>
    <w:rsid w:val="007522AE"/>
    <w:rsid w:val="00752682"/>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5A7"/>
    <w:rsid w:val="00762957"/>
    <w:rsid w:val="00762AAE"/>
    <w:rsid w:val="00762D00"/>
    <w:rsid w:val="0076303D"/>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849"/>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4623"/>
    <w:rsid w:val="00775395"/>
    <w:rsid w:val="0077578D"/>
    <w:rsid w:val="00775A3A"/>
    <w:rsid w:val="00775ABA"/>
    <w:rsid w:val="00775C6D"/>
    <w:rsid w:val="00775F6E"/>
    <w:rsid w:val="00776269"/>
    <w:rsid w:val="00776A86"/>
    <w:rsid w:val="00776CF8"/>
    <w:rsid w:val="00776D50"/>
    <w:rsid w:val="00777C3C"/>
    <w:rsid w:val="00777DD2"/>
    <w:rsid w:val="00780AD6"/>
    <w:rsid w:val="00780DC4"/>
    <w:rsid w:val="00780E00"/>
    <w:rsid w:val="0078109D"/>
    <w:rsid w:val="007818F8"/>
    <w:rsid w:val="0078193B"/>
    <w:rsid w:val="00782382"/>
    <w:rsid w:val="007825F7"/>
    <w:rsid w:val="007826CB"/>
    <w:rsid w:val="0078274F"/>
    <w:rsid w:val="007828DD"/>
    <w:rsid w:val="00782CB0"/>
    <w:rsid w:val="00782E4E"/>
    <w:rsid w:val="00782F7B"/>
    <w:rsid w:val="00783086"/>
    <w:rsid w:val="007831C4"/>
    <w:rsid w:val="0078368A"/>
    <w:rsid w:val="0078377D"/>
    <w:rsid w:val="00783AC2"/>
    <w:rsid w:val="0078407C"/>
    <w:rsid w:val="00784361"/>
    <w:rsid w:val="00784463"/>
    <w:rsid w:val="007845B9"/>
    <w:rsid w:val="00784790"/>
    <w:rsid w:val="00784FF8"/>
    <w:rsid w:val="00784FFB"/>
    <w:rsid w:val="00785015"/>
    <w:rsid w:val="007857B0"/>
    <w:rsid w:val="00785C44"/>
    <w:rsid w:val="00785D40"/>
    <w:rsid w:val="0078656A"/>
    <w:rsid w:val="00786EB2"/>
    <w:rsid w:val="00786F44"/>
    <w:rsid w:val="00787583"/>
    <w:rsid w:val="007878D3"/>
    <w:rsid w:val="00787BE8"/>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853"/>
    <w:rsid w:val="00794ED3"/>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B17"/>
    <w:rsid w:val="007A2F9F"/>
    <w:rsid w:val="007A308B"/>
    <w:rsid w:val="007A31A1"/>
    <w:rsid w:val="007A3919"/>
    <w:rsid w:val="007A4333"/>
    <w:rsid w:val="007A4558"/>
    <w:rsid w:val="007A46BE"/>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A7F8A"/>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113"/>
    <w:rsid w:val="007B5407"/>
    <w:rsid w:val="007B54E8"/>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1D4"/>
    <w:rsid w:val="007C25EA"/>
    <w:rsid w:val="007C2860"/>
    <w:rsid w:val="007C2BC3"/>
    <w:rsid w:val="007C2E62"/>
    <w:rsid w:val="007C309E"/>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49C"/>
    <w:rsid w:val="007D0B67"/>
    <w:rsid w:val="007D136E"/>
    <w:rsid w:val="007D1462"/>
    <w:rsid w:val="007D18AF"/>
    <w:rsid w:val="007D1C1E"/>
    <w:rsid w:val="007D1CAF"/>
    <w:rsid w:val="007D1E1B"/>
    <w:rsid w:val="007D2BEB"/>
    <w:rsid w:val="007D2C5B"/>
    <w:rsid w:val="007D2CBF"/>
    <w:rsid w:val="007D307B"/>
    <w:rsid w:val="007D3131"/>
    <w:rsid w:val="007D35D3"/>
    <w:rsid w:val="007D3703"/>
    <w:rsid w:val="007D40AB"/>
    <w:rsid w:val="007D41B4"/>
    <w:rsid w:val="007D42F0"/>
    <w:rsid w:val="007D4739"/>
    <w:rsid w:val="007D49DA"/>
    <w:rsid w:val="007D4BA0"/>
    <w:rsid w:val="007D4DC1"/>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732"/>
    <w:rsid w:val="007E3A95"/>
    <w:rsid w:val="007E3BCD"/>
    <w:rsid w:val="007E3FB4"/>
    <w:rsid w:val="007E4C21"/>
    <w:rsid w:val="007E512C"/>
    <w:rsid w:val="007E59C0"/>
    <w:rsid w:val="007E5D25"/>
    <w:rsid w:val="007E607F"/>
    <w:rsid w:val="007E6901"/>
    <w:rsid w:val="007E69CC"/>
    <w:rsid w:val="007E6CD2"/>
    <w:rsid w:val="007E7236"/>
    <w:rsid w:val="007E746D"/>
    <w:rsid w:val="007E78AA"/>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8"/>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157C2"/>
    <w:rsid w:val="00815EDB"/>
    <w:rsid w:val="008170E5"/>
    <w:rsid w:val="00820247"/>
    <w:rsid w:val="0082116A"/>
    <w:rsid w:val="00821622"/>
    <w:rsid w:val="0082165F"/>
    <w:rsid w:val="008217E8"/>
    <w:rsid w:val="00821B30"/>
    <w:rsid w:val="0082203E"/>
    <w:rsid w:val="008223F1"/>
    <w:rsid w:val="0082252D"/>
    <w:rsid w:val="00822962"/>
    <w:rsid w:val="00822AB5"/>
    <w:rsid w:val="00823082"/>
    <w:rsid w:val="0082323F"/>
    <w:rsid w:val="008238E7"/>
    <w:rsid w:val="00823D62"/>
    <w:rsid w:val="00823DCC"/>
    <w:rsid w:val="00823EC8"/>
    <w:rsid w:val="008252BB"/>
    <w:rsid w:val="00825405"/>
    <w:rsid w:val="0082612B"/>
    <w:rsid w:val="008264F1"/>
    <w:rsid w:val="00826DB0"/>
    <w:rsid w:val="00826E87"/>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2C3E"/>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696"/>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2D02"/>
    <w:rsid w:val="0084315C"/>
    <w:rsid w:val="0084352A"/>
    <w:rsid w:val="0084357F"/>
    <w:rsid w:val="008436A1"/>
    <w:rsid w:val="00843785"/>
    <w:rsid w:val="008438FF"/>
    <w:rsid w:val="0084392F"/>
    <w:rsid w:val="00843CC7"/>
    <w:rsid w:val="0084408F"/>
    <w:rsid w:val="00844251"/>
    <w:rsid w:val="0084428C"/>
    <w:rsid w:val="00844578"/>
    <w:rsid w:val="008449B0"/>
    <w:rsid w:val="00844A51"/>
    <w:rsid w:val="0084511E"/>
    <w:rsid w:val="0084512C"/>
    <w:rsid w:val="00845259"/>
    <w:rsid w:val="00845BD8"/>
    <w:rsid w:val="008465B9"/>
    <w:rsid w:val="00846CCE"/>
    <w:rsid w:val="00846EAC"/>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4A9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CE0"/>
    <w:rsid w:val="00857D01"/>
    <w:rsid w:val="00860C75"/>
    <w:rsid w:val="00861089"/>
    <w:rsid w:val="0086117F"/>
    <w:rsid w:val="008611CD"/>
    <w:rsid w:val="008612AD"/>
    <w:rsid w:val="0086199A"/>
    <w:rsid w:val="00861CF4"/>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260"/>
    <w:rsid w:val="00866D54"/>
    <w:rsid w:val="00867255"/>
    <w:rsid w:val="0086758F"/>
    <w:rsid w:val="008675E4"/>
    <w:rsid w:val="008678CB"/>
    <w:rsid w:val="0086798E"/>
    <w:rsid w:val="00867A40"/>
    <w:rsid w:val="00867D47"/>
    <w:rsid w:val="00867D5A"/>
    <w:rsid w:val="00870109"/>
    <w:rsid w:val="008701AC"/>
    <w:rsid w:val="00870223"/>
    <w:rsid w:val="00870275"/>
    <w:rsid w:val="008707A7"/>
    <w:rsid w:val="008707C7"/>
    <w:rsid w:val="00870B5F"/>
    <w:rsid w:val="00870DC0"/>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57B"/>
    <w:rsid w:val="008746DE"/>
    <w:rsid w:val="0087470B"/>
    <w:rsid w:val="008749FA"/>
    <w:rsid w:val="00874B8E"/>
    <w:rsid w:val="008751E6"/>
    <w:rsid w:val="00875531"/>
    <w:rsid w:val="00875D58"/>
    <w:rsid w:val="00875FCA"/>
    <w:rsid w:val="0087618A"/>
    <w:rsid w:val="0087620E"/>
    <w:rsid w:val="0087626F"/>
    <w:rsid w:val="0087663F"/>
    <w:rsid w:val="00876B28"/>
    <w:rsid w:val="00876BAC"/>
    <w:rsid w:val="00876D36"/>
    <w:rsid w:val="00877313"/>
    <w:rsid w:val="00877329"/>
    <w:rsid w:val="008773D9"/>
    <w:rsid w:val="0087790D"/>
    <w:rsid w:val="00877F12"/>
    <w:rsid w:val="008807BF"/>
    <w:rsid w:val="008812BB"/>
    <w:rsid w:val="00881433"/>
    <w:rsid w:val="00881637"/>
    <w:rsid w:val="008819B8"/>
    <w:rsid w:val="00881CDE"/>
    <w:rsid w:val="00881E4E"/>
    <w:rsid w:val="00882249"/>
    <w:rsid w:val="008826F4"/>
    <w:rsid w:val="00882908"/>
    <w:rsid w:val="00882A24"/>
    <w:rsid w:val="00882A5E"/>
    <w:rsid w:val="008831F4"/>
    <w:rsid w:val="00883487"/>
    <w:rsid w:val="0088355F"/>
    <w:rsid w:val="00883669"/>
    <w:rsid w:val="00883789"/>
    <w:rsid w:val="00883B5C"/>
    <w:rsid w:val="00883CF0"/>
    <w:rsid w:val="00883D6F"/>
    <w:rsid w:val="008841A0"/>
    <w:rsid w:val="0088444F"/>
    <w:rsid w:val="008844F2"/>
    <w:rsid w:val="008846BA"/>
    <w:rsid w:val="00884B75"/>
    <w:rsid w:val="00884E3B"/>
    <w:rsid w:val="00885074"/>
    <w:rsid w:val="00885991"/>
    <w:rsid w:val="008859EB"/>
    <w:rsid w:val="00885BB1"/>
    <w:rsid w:val="00885BB6"/>
    <w:rsid w:val="008861F5"/>
    <w:rsid w:val="0088669D"/>
    <w:rsid w:val="0088681B"/>
    <w:rsid w:val="00886896"/>
    <w:rsid w:val="008868EB"/>
    <w:rsid w:val="00886F71"/>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23"/>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AD1"/>
    <w:rsid w:val="008A1CA0"/>
    <w:rsid w:val="008A2C7C"/>
    <w:rsid w:val="008A2FBA"/>
    <w:rsid w:val="008A3493"/>
    <w:rsid w:val="008A3614"/>
    <w:rsid w:val="008A385D"/>
    <w:rsid w:val="008A3AA4"/>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0F0E"/>
    <w:rsid w:val="008B1049"/>
    <w:rsid w:val="008B126D"/>
    <w:rsid w:val="008B1383"/>
    <w:rsid w:val="008B156A"/>
    <w:rsid w:val="008B1703"/>
    <w:rsid w:val="008B18CE"/>
    <w:rsid w:val="008B1B90"/>
    <w:rsid w:val="008B1F1F"/>
    <w:rsid w:val="008B20B2"/>
    <w:rsid w:val="008B269F"/>
    <w:rsid w:val="008B2929"/>
    <w:rsid w:val="008B397D"/>
    <w:rsid w:val="008B3B1C"/>
    <w:rsid w:val="008B3BEB"/>
    <w:rsid w:val="008B3EF2"/>
    <w:rsid w:val="008B45DF"/>
    <w:rsid w:val="008B4865"/>
    <w:rsid w:val="008B49C6"/>
    <w:rsid w:val="008B59FA"/>
    <w:rsid w:val="008B5BC4"/>
    <w:rsid w:val="008B62F4"/>
    <w:rsid w:val="008B64CE"/>
    <w:rsid w:val="008B6C0F"/>
    <w:rsid w:val="008B6EED"/>
    <w:rsid w:val="008B6F79"/>
    <w:rsid w:val="008B70FE"/>
    <w:rsid w:val="008B7656"/>
    <w:rsid w:val="008C05F3"/>
    <w:rsid w:val="008C0BDA"/>
    <w:rsid w:val="008C0D60"/>
    <w:rsid w:val="008C0F92"/>
    <w:rsid w:val="008C1080"/>
    <w:rsid w:val="008C131A"/>
    <w:rsid w:val="008C186F"/>
    <w:rsid w:val="008C2310"/>
    <w:rsid w:val="008C242F"/>
    <w:rsid w:val="008C25CC"/>
    <w:rsid w:val="008C2884"/>
    <w:rsid w:val="008C28C7"/>
    <w:rsid w:val="008C2CBA"/>
    <w:rsid w:val="008C2D29"/>
    <w:rsid w:val="008C3279"/>
    <w:rsid w:val="008C33B5"/>
    <w:rsid w:val="008C3A0C"/>
    <w:rsid w:val="008C3B52"/>
    <w:rsid w:val="008C3FF6"/>
    <w:rsid w:val="008C4839"/>
    <w:rsid w:val="008C52EC"/>
    <w:rsid w:val="008C5783"/>
    <w:rsid w:val="008C6058"/>
    <w:rsid w:val="008C70AD"/>
    <w:rsid w:val="008C7405"/>
    <w:rsid w:val="008C7669"/>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B2"/>
    <w:rsid w:val="008D4CD1"/>
    <w:rsid w:val="008D5242"/>
    <w:rsid w:val="008D536B"/>
    <w:rsid w:val="008D5541"/>
    <w:rsid w:val="008D660D"/>
    <w:rsid w:val="008D6C33"/>
    <w:rsid w:val="008D6CAE"/>
    <w:rsid w:val="008D6F26"/>
    <w:rsid w:val="008D73E4"/>
    <w:rsid w:val="008D7915"/>
    <w:rsid w:val="008D7994"/>
    <w:rsid w:val="008D7F32"/>
    <w:rsid w:val="008E0065"/>
    <w:rsid w:val="008E0099"/>
    <w:rsid w:val="008E01AC"/>
    <w:rsid w:val="008E0421"/>
    <w:rsid w:val="008E074A"/>
    <w:rsid w:val="008E10FB"/>
    <w:rsid w:val="008E10FD"/>
    <w:rsid w:val="008E1118"/>
    <w:rsid w:val="008E121A"/>
    <w:rsid w:val="008E1538"/>
    <w:rsid w:val="008E1AE1"/>
    <w:rsid w:val="008E1FE4"/>
    <w:rsid w:val="008E274C"/>
    <w:rsid w:val="008E2CD8"/>
    <w:rsid w:val="008E2E88"/>
    <w:rsid w:val="008E3217"/>
    <w:rsid w:val="008E336D"/>
    <w:rsid w:val="008E3773"/>
    <w:rsid w:val="008E3F0E"/>
    <w:rsid w:val="008E3F91"/>
    <w:rsid w:val="008E42F8"/>
    <w:rsid w:val="008E45B9"/>
    <w:rsid w:val="008E4FAA"/>
    <w:rsid w:val="008E551F"/>
    <w:rsid w:val="008E5771"/>
    <w:rsid w:val="008E5BAC"/>
    <w:rsid w:val="008E5D44"/>
    <w:rsid w:val="008E61A4"/>
    <w:rsid w:val="008E6580"/>
    <w:rsid w:val="008E679C"/>
    <w:rsid w:val="008E6A1E"/>
    <w:rsid w:val="008E6CB7"/>
    <w:rsid w:val="008E793F"/>
    <w:rsid w:val="008E79E9"/>
    <w:rsid w:val="008E7BDE"/>
    <w:rsid w:val="008E7CFD"/>
    <w:rsid w:val="008E7DFA"/>
    <w:rsid w:val="008F0723"/>
    <w:rsid w:val="008F097F"/>
    <w:rsid w:val="008F0D13"/>
    <w:rsid w:val="008F11C6"/>
    <w:rsid w:val="008F1A8E"/>
    <w:rsid w:val="008F1E43"/>
    <w:rsid w:val="008F1FC7"/>
    <w:rsid w:val="008F22BA"/>
    <w:rsid w:val="008F2620"/>
    <w:rsid w:val="008F2D0B"/>
    <w:rsid w:val="008F3218"/>
    <w:rsid w:val="008F3355"/>
    <w:rsid w:val="008F397D"/>
    <w:rsid w:val="008F3B8E"/>
    <w:rsid w:val="008F3E2C"/>
    <w:rsid w:val="008F4541"/>
    <w:rsid w:val="008F477F"/>
    <w:rsid w:val="008F47C0"/>
    <w:rsid w:val="008F495F"/>
    <w:rsid w:val="008F51E8"/>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AF6"/>
    <w:rsid w:val="00902E9B"/>
    <w:rsid w:val="00903A52"/>
    <w:rsid w:val="009040E6"/>
    <w:rsid w:val="009042E5"/>
    <w:rsid w:val="0090432C"/>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7E"/>
    <w:rsid w:val="009071FC"/>
    <w:rsid w:val="00907520"/>
    <w:rsid w:val="00907CCE"/>
    <w:rsid w:val="00907D22"/>
    <w:rsid w:val="00910104"/>
    <w:rsid w:val="00910611"/>
    <w:rsid w:val="00910707"/>
    <w:rsid w:val="00910D61"/>
    <w:rsid w:val="00910D64"/>
    <w:rsid w:val="0091119F"/>
    <w:rsid w:val="0091139C"/>
    <w:rsid w:val="009118F9"/>
    <w:rsid w:val="0091197F"/>
    <w:rsid w:val="009127C1"/>
    <w:rsid w:val="0091363D"/>
    <w:rsid w:val="00913977"/>
    <w:rsid w:val="00914203"/>
    <w:rsid w:val="0091465F"/>
    <w:rsid w:val="00914874"/>
    <w:rsid w:val="00914ABA"/>
    <w:rsid w:val="009163F2"/>
    <w:rsid w:val="0091760A"/>
    <w:rsid w:val="00917929"/>
    <w:rsid w:val="00917B5D"/>
    <w:rsid w:val="00917F6F"/>
    <w:rsid w:val="009209E3"/>
    <w:rsid w:val="009228DD"/>
    <w:rsid w:val="00922EDF"/>
    <w:rsid w:val="009231C2"/>
    <w:rsid w:val="0092329A"/>
    <w:rsid w:val="0092369A"/>
    <w:rsid w:val="009237DF"/>
    <w:rsid w:val="00923877"/>
    <w:rsid w:val="009244F6"/>
    <w:rsid w:val="009247F2"/>
    <w:rsid w:val="009247F8"/>
    <w:rsid w:val="00925048"/>
    <w:rsid w:val="0092560D"/>
    <w:rsid w:val="00925867"/>
    <w:rsid w:val="00925908"/>
    <w:rsid w:val="00925991"/>
    <w:rsid w:val="00925DD5"/>
    <w:rsid w:val="0092645A"/>
    <w:rsid w:val="0092649C"/>
    <w:rsid w:val="009268FE"/>
    <w:rsid w:val="0092752C"/>
    <w:rsid w:val="009279B9"/>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8DD"/>
    <w:rsid w:val="00933951"/>
    <w:rsid w:val="00933C0E"/>
    <w:rsid w:val="00933FBB"/>
    <w:rsid w:val="009341FF"/>
    <w:rsid w:val="00934388"/>
    <w:rsid w:val="00934643"/>
    <w:rsid w:val="00934780"/>
    <w:rsid w:val="009348A1"/>
    <w:rsid w:val="00935E72"/>
    <w:rsid w:val="00936232"/>
    <w:rsid w:val="009364A0"/>
    <w:rsid w:val="00936CD8"/>
    <w:rsid w:val="00936ED8"/>
    <w:rsid w:val="009370E1"/>
    <w:rsid w:val="009370FC"/>
    <w:rsid w:val="009372F7"/>
    <w:rsid w:val="009375DD"/>
    <w:rsid w:val="00937C62"/>
    <w:rsid w:val="00937EF3"/>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3C3C"/>
    <w:rsid w:val="0094481F"/>
    <w:rsid w:val="00944BCB"/>
    <w:rsid w:val="00944C97"/>
    <w:rsid w:val="00944CED"/>
    <w:rsid w:val="00944F41"/>
    <w:rsid w:val="00945471"/>
    <w:rsid w:val="009455EA"/>
    <w:rsid w:val="00945647"/>
    <w:rsid w:val="00945823"/>
    <w:rsid w:val="00945833"/>
    <w:rsid w:val="00945D36"/>
    <w:rsid w:val="00945FC0"/>
    <w:rsid w:val="009463E2"/>
    <w:rsid w:val="009464C8"/>
    <w:rsid w:val="009465CB"/>
    <w:rsid w:val="009470CB"/>
    <w:rsid w:val="009479DA"/>
    <w:rsid w:val="00947AC3"/>
    <w:rsid w:val="00947C69"/>
    <w:rsid w:val="00950162"/>
    <w:rsid w:val="0095087D"/>
    <w:rsid w:val="009509FD"/>
    <w:rsid w:val="00950CE7"/>
    <w:rsid w:val="009515B5"/>
    <w:rsid w:val="00951789"/>
    <w:rsid w:val="00951AE4"/>
    <w:rsid w:val="00951C8F"/>
    <w:rsid w:val="00952538"/>
    <w:rsid w:val="00952855"/>
    <w:rsid w:val="00952B3E"/>
    <w:rsid w:val="00952F39"/>
    <w:rsid w:val="00953349"/>
    <w:rsid w:val="009534AB"/>
    <w:rsid w:val="0095402D"/>
    <w:rsid w:val="00954A06"/>
    <w:rsid w:val="00954B9B"/>
    <w:rsid w:val="00955867"/>
    <w:rsid w:val="00955916"/>
    <w:rsid w:val="00955E45"/>
    <w:rsid w:val="00955EF1"/>
    <w:rsid w:val="009564ED"/>
    <w:rsid w:val="00956793"/>
    <w:rsid w:val="00956846"/>
    <w:rsid w:val="00956AF5"/>
    <w:rsid w:val="00956CDF"/>
    <w:rsid w:val="00956D70"/>
    <w:rsid w:val="009572D6"/>
    <w:rsid w:val="009576DA"/>
    <w:rsid w:val="00957B8B"/>
    <w:rsid w:val="009604C0"/>
    <w:rsid w:val="00960533"/>
    <w:rsid w:val="00960746"/>
    <w:rsid w:val="00960888"/>
    <w:rsid w:val="00960D4C"/>
    <w:rsid w:val="00960E77"/>
    <w:rsid w:val="009611CD"/>
    <w:rsid w:val="00961311"/>
    <w:rsid w:val="00961588"/>
    <w:rsid w:val="00961651"/>
    <w:rsid w:val="00961B6C"/>
    <w:rsid w:val="0096213D"/>
    <w:rsid w:val="009622C3"/>
    <w:rsid w:val="00962560"/>
    <w:rsid w:val="00962A3E"/>
    <w:rsid w:val="00962A99"/>
    <w:rsid w:val="00962AC5"/>
    <w:rsid w:val="00962EEC"/>
    <w:rsid w:val="0096341A"/>
    <w:rsid w:val="00963E89"/>
    <w:rsid w:val="0096408F"/>
    <w:rsid w:val="00964425"/>
    <w:rsid w:val="009646D2"/>
    <w:rsid w:val="00964AA5"/>
    <w:rsid w:val="00965DA7"/>
    <w:rsid w:val="00965E56"/>
    <w:rsid w:val="00965F20"/>
    <w:rsid w:val="00966232"/>
    <w:rsid w:val="009664C7"/>
    <w:rsid w:val="009668BD"/>
    <w:rsid w:val="00967CA0"/>
    <w:rsid w:val="00970364"/>
    <w:rsid w:val="0097047F"/>
    <w:rsid w:val="009705CB"/>
    <w:rsid w:val="00970D4B"/>
    <w:rsid w:val="00970F83"/>
    <w:rsid w:val="0097177B"/>
    <w:rsid w:val="00971A3E"/>
    <w:rsid w:val="00971CC5"/>
    <w:rsid w:val="00971DB8"/>
    <w:rsid w:val="00972435"/>
    <w:rsid w:val="00972A71"/>
    <w:rsid w:val="00972E54"/>
    <w:rsid w:val="009732AB"/>
    <w:rsid w:val="0097338C"/>
    <w:rsid w:val="00973F9D"/>
    <w:rsid w:val="0097581F"/>
    <w:rsid w:val="00975880"/>
    <w:rsid w:val="00975C6D"/>
    <w:rsid w:val="00976185"/>
    <w:rsid w:val="00976CB7"/>
    <w:rsid w:val="0097719C"/>
    <w:rsid w:val="0097748A"/>
    <w:rsid w:val="00977CE8"/>
    <w:rsid w:val="00977D86"/>
    <w:rsid w:val="00977E3C"/>
    <w:rsid w:val="009801B6"/>
    <w:rsid w:val="00980FD5"/>
    <w:rsid w:val="009814BA"/>
    <w:rsid w:val="009815B3"/>
    <w:rsid w:val="00981964"/>
    <w:rsid w:val="00981B3B"/>
    <w:rsid w:val="00981DF3"/>
    <w:rsid w:val="00981E05"/>
    <w:rsid w:val="009823AB"/>
    <w:rsid w:val="0098247E"/>
    <w:rsid w:val="0098254A"/>
    <w:rsid w:val="00982786"/>
    <w:rsid w:val="00982A6B"/>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CA4"/>
    <w:rsid w:val="00985F65"/>
    <w:rsid w:val="00985F69"/>
    <w:rsid w:val="00986448"/>
    <w:rsid w:val="00986D96"/>
    <w:rsid w:val="00987243"/>
    <w:rsid w:val="00987C0F"/>
    <w:rsid w:val="0099006F"/>
    <w:rsid w:val="00990259"/>
    <w:rsid w:val="009902B6"/>
    <w:rsid w:val="0099046B"/>
    <w:rsid w:val="00990803"/>
    <w:rsid w:val="00990E3F"/>
    <w:rsid w:val="009923C2"/>
    <w:rsid w:val="00992AEB"/>
    <w:rsid w:val="00992ECB"/>
    <w:rsid w:val="00992FC9"/>
    <w:rsid w:val="0099305B"/>
    <w:rsid w:val="0099349E"/>
    <w:rsid w:val="009939D8"/>
    <w:rsid w:val="00993ABF"/>
    <w:rsid w:val="00993E62"/>
    <w:rsid w:val="00994175"/>
    <w:rsid w:val="00994642"/>
    <w:rsid w:val="00994811"/>
    <w:rsid w:val="00995573"/>
    <w:rsid w:val="0099621C"/>
    <w:rsid w:val="0099634D"/>
    <w:rsid w:val="009966DC"/>
    <w:rsid w:val="00996AF2"/>
    <w:rsid w:val="009972E1"/>
    <w:rsid w:val="00997530"/>
    <w:rsid w:val="00997536"/>
    <w:rsid w:val="00997957"/>
    <w:rsid w:val="00997988"/>
    <w:rsid w:val="00997A3E"/>
    <w:rsid w:val="00997AAC"/>
    <w:rsid w:val="00997FAA"/>
    <w:rsid w:val="009A0411"/>
    <w:rsid w:val="009A0427"/>
    <w:rsid w:val="009A067B"/>
    <w:rsid w:val="009A0733"/>
    <w:rsid w:val="009A0EF6"/>
    <w:rsid w:val="009A195E"/>
    <w:rsid w:val="009A1D3D"/>
    <w:rsid w:val="009A25BB"/>
    <w:rsid w:val="009A2654"/>
    <w:rsid w:val="009A27DF"/>
    <w:rsid w:val="009A2BA1"/>
    <w:rsid w:val="009A2D35"/>
    <w:rsid w:val="009A34DE"/>
    <w:rsid w:val="009A38D8"/>
    <w:rsid w:val="009A39E3"/>
    <w:rsid w:val="009A3E82"/>
    <w:rsid w:val="009A4299"/>
    <w:rsid w:val="009A488A"/>
    <w:rsid w:val="009A4F7F"/>
    <w:rsid w:val="009A519B"/>
    <w:rsid w:val="009A520A"/>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AA"/>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129"/>
    <w:rsid w:val="009B7575"/>
    <w:rsid w:val="009B7711"/>
    <w:rsid w:val="009C000B"/>
    <w:rsid w:val="009C0097"/>
    <w:rsid w:val="009C0498"/>
    <w:rsid w:val="009C064F"/>
    <w:rsid w:val="009C0C35"/>
    <w:rsid w:val="009C0D10"/>
    <w:rsid w:val="009C1262"/>
    <w:rsid w:val="009C1B7D"/>
    <w:rsid w:val="009C2060"/>
    <w:rsid w:val="009C2493"/>
    <w:rsid w:val="009C28D0"/>
    <w:rsid w:val="009C2DA3"/>
    <w:rsid w:val="009C32C7"/>
    <w:rsid w:val="009C3805"/>
    <w:rsid w:val="009C38E2"/>
    <w:rsid w:val="009C3B5D"/>
    <w:rsid w:val="009C43B3"/>
    <w:rsid w:val="009C458C"/>
    <w:rsid w:val="009C458E"/>
    <w:rsid w:val="009C48AE"/>
    <w:rsid w:val="009C4A36"/>
    <w:rsid w:val="009C4AC2"/>
    <w:rsid w:val="009C4D99"/>
    <w:rsid w:val="009C519E"/>
    <w:rsid w:val="009C52CB"/>
    <w:rsid w:val="009C5347"/>
    <w:rsid w:val="009C5587"/>
    <w:rsid w:val="009C58B4"/>
    <w:rsid w:val="009C5BD9"/>
    <w:rsid w:val="009C5F02"/>
    <w:rsid w:val="009C5F2E"/>
    <w:rsid w:val="009C63E2"/>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D50"/>
    <w:rsid w:val="009D3E62"/>
    <w:rsid w:val="009D3EF2"/>
    <w:rsid w:val="009D4132"/>
    <w:rsid w:val="009D48DA"/>
    <w:rsid w:val="009D517C"/>
    <w:rsid w:val="009D5C43"/>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8E3"/>
    <w:rsid w:val="009E4B3D"/>
    <w:rsid w:val="009E5B6D"/>
    <w:rsid w:val="009E5CF1"/>
    <w:rsid w:val="009E656B"/>
    <w:rsid w:val="009E66EC"/>
    <w:rsid w:val="009E67D1"/>
    <w:rsid w:val="009E68CE"/>
    <w:rsid w:val="009E6951"/>
    <w:rsid w:val="009E6D81"/>
    <w:rsid w:val="009E754E"/>
    <w:rsid w:val="009E75C1"/>
    <w:rsid w:val="009E775E"/>
    <w:rsid w:val="009E7E53"/>
    <w:rsid w:val="009F06C3"/>
    <w:rsid w:val="009F06E8"/>
    <w:rsid w:val="009F0730"/>
    <w:rsid w:val="009F0961"/>
    <w:rsid w:val="009F0E90"/>
    <w:rsid w:val="009F0FEE"/>
    <w:rsid w:val="009F108B"/>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20D"/>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22"/>
    <w:rsid w:val="00A06460"/>
    <w:rsid w:val="00A06D9B"/>
    <w:rsid w:val="00A070DA"/>
    <w:rsid w:val="00A07122"/>
    <w:rsid w:val="00A07576"/>
    <w:rsid w:val="00A0778F"/>
    <w:rsid w:val="00A07E78"/>
    <w:rsid w:val="00A07F1F"/>
    <w:rsid w:val="00A10026"/>
    <w:rsid w:val="00A10082"/>
    <w:rsid w:val="00A101FF"/>
    <w:rsid w:val="00A10832"/>
    <w:rsid w:val="00A10DCF"/>
    <w:rsid w:val="00A1131E"/>
    <w:rsid w:val="00A1139A"/>
    <w:rsid w:val="00A11833"/>
    <w:rsid w:val="00A1207D"/>
    <w:rsid w:val="00A12539"/>
    <w:rsid w:val="00A127B8"/>
    <w:rsid w:val="00A12D5A"/>
    <w:rsid w:val="00A131CB"/>
    <w:rsid w:val="00A13341"/>
    <w:rsid w:val="00A136FF"/>
    <w:rsid w:val="00A13947"/>
    <w:rsid w:val="00A13E05"/>
    <w:rsid w:val="00A14792"/>
    <w:rsid w:val="00A15910"/>
    <w:rsid w:val="00A165ED"/>
    <w:rsid w:val="00A16B4A"/>
    <w:rsid w:val="00A178C6"/>
    <w:rsid w:val="00A1792E"/>
    <w:rsid w:val="00A17960"/>
    <w:rsid w:val="00A17A17"/>
    <w:rsid w:val="00A17BC5"/>
    <w:rsid w:val="00A17CA2"/>
    <w:rsid w:val="00A17FF3"/>
    <w:rsid w:val="00A213F6"/>
    <w:rsid w:val="00A2195C"/>
    <w:rsid w:val="00A21BC8"/>
    <w:rsid w:val="00A21BF8"/>
    <w:rsid w:val="00A21C5D"/>
    <w:rsid w:val="00A21EA8"/>
    <w:rsid w:val="00A21EF6"/>
    <w:rsid w:val="00A2237B"/>
    <w:rsid w:val="00A226BC"/>
    <w:rsid w:val="00A22785"/>
    <w:rsid w:val="00A23221"/>
    <w:rsid w:val="00A23434"/>
    <w:rsid w:val="00A2359B"/>
    <w:rsid w:val="00A23717"/>
    <w:rsid w:val="00A2389A"/>
    <w:rsid w:val="00A23BAD"/>
    <w:rsid w:val="00A23D48"/>
    <w:rsid w:val="00A2400F"/>
    <w:rsid w:val="00A2435B"/>
    <w:rsid w:val="00A24A77"/>
    <w:rsid w:val="00A251B6"/>
    <w:rsid w:val="00A255AF"/>
    <w:rsid w:val="00A25653"/>
    <w:rsid w:val="00A25C5E"/>
    <w:rsid w:val="00A25F60"/>
    <w:rsid w:val="00A26006"/>
    <w:rsid w:val="00A2677B"/>
    <w:rsid w:val="00A26789"/>
    <w:rsid w:val="00A2725C"/>
    <w:rsid w:val="00A272EF"/>
    <w:rsid w:val="00A27378"/>
    <w:rsid w:val="00A2754E"/>
    <w:rsid w:val="00A27858"/>
    <w:rsid w:val="00A3014A"/>
    <w:rsid w:val="00A30266"/>
    <w:rsid w:val="00A3052E"/>
    <w:rsid w:val="00A30592"/>
    <w:rsid w:val="00A306C9"/>
    <w:rsid w:val="00A30CBD"/>
    <w:rsid w:val="00A31229"/>
    <w:rsid w:val="00A31376"/>
    <w:rsid w:val="00A31836"/>
    <w:rsid w:val="00A31869"/>
    <w:rsid w:val="00A31A52"/>
    <w:rsid w:val="00A31F4B"/>
    <w:rsid w:val="00A32160"/>
    <w:rsid w:val="00A3226E"/>
    <w:rsid w:val="00A323F7"/>
    <w:rsid w:val="00A326E0"/>
    <w:rsid w:val="00A329E3"/>
    <w:rsid w:val="00A3311F"/>
    <w:rsid w:val="00A33977"/>
    <w:rsid w:val="00A339EA"/>
    <w:rsid w:val="00A33D88"/>
    <w:rsid w:val="00A34010"/>
    <w:rsid w:val="00A343B3"/>
    <w:rsid w:val="00A34822"/>
    <w:rsid w:val="00A348FF"/>
    <w:rsid w:val="00A34BBD"/>
    <w:rsid w:val="00A34DE7"/>
    <w:rsid w:val="00A34EFF"/>
    <w:rsid w:val="00A354DE"/>
    <w:rsid w:val="00A35520"/>
    <w:rsid w:val="00A35737"/>
    <w:rsid w:val="00A357FF"/>
    <w:rsid w:val="00A358C3"/>
    <w:rsid w:val="00A35BC6"/>
    <w:rsid w:val="00A3679E"/>
    <w:rsid w:val="00A36C69"/>
    <w:rsid w:val="00A36EF2"/>
    <w:rsid w:val="00A37496"/>
    <w:rsid w:val="00A3769E"/>
    <w:rsid w:val="00A4058D"/>
    <w:rsid w:val="00A406D8"/>
    <w:rsid w:val="00A409CC"/>
    <w:rsid w:val="00A40C5B"/>
    <w:rsid w:val="00A40DBD"/>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64D"/>
    <w:rsid w:val="00A43AA4"/>
    <w:rsid w:val="00A43B30"/>
    <w:rsid w:val="00A44108"/>
    <w:rsid w:val="00A4477A"/>
    <w:rsid w:val="00A44993"/>
    <w:rsid w:val="00A450E1"/>
    <w:rsid w:val="00A457E1"/>
    <w:rsid w:val="00A45B6E"/>
    <w:rsid w:val="00A45D21"/>
    <w:rsid w:val="00A45D3E"/>
    <w:rsid w:val="00A45D6B"/>
    <w:rsid w:val="00A461DB"/>
    <w:rsid w:val="00A46255"/>
    <w:rsid w:val="00A466FB"/>
    <w:rsid w:val="00A46765"/>
    <w:rsid w:val="00A47672"/>
    <w:rsid w:val="00A4777A"/>
    <w:rsid w:val="00A47A14"/>
    <w:rsid w:val="00A47C4F"/>
    <w:rsid w:val="00A47EA4"/>
    <w:rsid w:val="00A50595"/>
    <w:rsid w:val="00A50767"/>
    <w:rsid w:val="00A50B3E"/>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29"/>
    <w:rsid w:val="00A554BC"/>
    <w:rsid w:val="00A55B07"/>
    <w:rsid w:val="00A56166"/>
    <w:rsid w:val="00A56D6B"/>
    <w:rsid w:val="00A56DC5"/>
    <w:rsid w:val="00A57FF7"/>
    <w:rsid w:val="00A60091"/>
    <w:rsid w:val="00A603FB"/>
    <w:rsid w:val="00A6042D"/>
    <w:rsid w:val="00A6087A"/>
    <w:rsid w:val="00A60957"/>
    <w:rsid w:val="00A60B6E"/>
    <w:rsid w:val="00A613F7"/>
    <w:rsid w:val="00A617A4"/>
    <w:rsid w:val="00A61E98"/>
    <w:rsid w:val="00A620F3"/>
    <w:rsid w:val="00A623DB"/>
    <w:rsid w:val="00A62452"/>
    <w:rsid w:val="00A62A3E"/>
    <w:rsid w:val="00A62C6C"/>
    <w:rsid w:val="00A62D98"/>
    <w:rsid w:val="00A63078"/>
    <w:rsid w:val="00A631D8"/>
    <w:rsid w:val="00A63ADF"/>
    <w:rsid w:val="00A63CA7"/>
    <w:rsid w:val="00A63E70"/>
    <w:rsid w:val="00A644F3"/>
    <w:rsid w:val="00A646A0"/>
    <w:rsid w:val="00A64B26"/>
    <w:rsid w:val="00A64CBF"/>
    <w:rsid w:val="00A64CFC"/>
    <w:rsid w:val="00A6523F"/>
    <w:rsid w:val="00A657D1"/>
    <w:rsid w:val="00A658CE"/>
    <w:rsid w:val="00A6608B"/>
    <w:rsid w:val="00A66B8B"/>
    <w:rsid w:val="00A66BC6"/>
    <w:rsid w:val="00A671C5"/>
    <w:rsid w:val="00A67CED"/>
    <w:rsid w:val="00A67F05"/>
    <w:rsid w:val="00A67F2F"/>
    <w:rsid w:val="00A67FE7"/>
    <w:rsid w:val="00A70683"/>
    <w:rsid w:val="00A7096D"/>
    <w:rsid w:val="00A70FAB"/>
    <w:rsid w:val="00A71007"/>
    <w:rsid w:val="00A710C3"/>
    <w:rsid w:val="00A717F1"/>
    <w:rsid w:val="00A71AAB"/>
    <w:rsid w:val="00A71AF6"/>
    <w:rsid w:val="00A71C1B"/>
    <w:rsid w:val="00A71F77"/>
    <w:rsid w:val="00A725EF"/>
    <w:rsid w:val="00A72814"/>
    <w:rsid w:val="00A72DD8"/>
    <w:rsid w:val="00A72FBC"/>
    <w:rsid w:val="00A7315C"/>
    <w:rsid w:val="00A735BD"/>
    <w:rsid w:val="00A73936"/>
    <w:rsid w:val="00A739B3"/>
    <w:rsid w:val="00A73D9C"/>
    <w:rsid w:val="00A74052"/>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1A"/>
    <w:rsid w:val="00A872E4"/>
    <w:rsid w:val="00A8744B"/>
    <w:rsid w:val="00A877AD"/>
    <w:rsid w:val="00A877CC"/>
    <w:rsid w:val="00A87B07"/>
    <w:rsid w:val="00A90077"/>
    <w:rsid w:val="00A9062C"/>
    <w:rsid w:val="00A9064D"/>
    <w:rsid w:val="00A90BC0"/>
    <w:rsid w:val="00A91941"/>
    <w:rsid w:val="00A91A55"/>
    <w:rsid w:val="00A91C0C"/>
    <w:rsid w:val="00A91DC4"/>
    <w:rsid w:val="00A9217C"/>
    <w:rsid w:val="00A9297E"/>
    <w:rsid w:val="00A92AB8"/>
    <w:rsid w:val="00A93215"/>
    <w:rsid w:val="00A932F2"/>
    <w:rsid w:val="00A9331C"/>
    <w:rsid w:val="00A93446"/>
    <w:rsid w:val="00A942F8"/>
    <w:rsid w:val="00A943E2"/>
    <w:rsid w:val="00A94C37"/>
    <w:rsid w:val="00A94C88"/>
    <w:rsid w:val="00A94D9F"/>
    <w:rsid w:val="00A95113"/>
    <w:rsid w:val="00A956A8"/>
    <w:rsid w:val="00A95930"/>
    <w:rsid w:val="00A95F1C"/>
    <w:rsid w:val="00A96694"/>
    <w:rsid w:val="00A96D6A"/>
    <w:rsid w:val="00A96F07"/>
    <w:rsid w:val="00A97759"/>
    <w:rsid w:val="00A97A34"/>
    <w:rsid w:val="00A97D6D"/>
    <w:rsid w:val="00AA02D0"/>
    <w:rsid w:val="00AA032D"/>
    <w:rsid w:val="00AA0BCE"/>
    <w:rsid w:val="00AA0E4F"/>
    <w:rsid w:val="00AA130D"/>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94E"/>
    <w:rsid w:val="00AA6C71"/>
    <w:rsid w:val="00AA7114"/>
    <w:rsid w:val="00AA71D0"/>
    <w:rsid w:val="00AA7343"/>
    <w:rsid w:val="00AA73CC"/>
    <w:rsid w:val="00AA74E6"/>
    <w:rsid w:val="00AA774D"/>
    <w:rsid w:val="00AA7B08"/>
    <w:rsid w:val="00AA7EFA"/>
    <w:rsid w:val="00AB0484"/>
    <w:rsid w:val="00AB07FC"/>
    <w:rsid w:val="00AB085C"/>
    <w:rsid w:val="00AB0AB8"/>
    <w:rsid w:val="00AB0C11"/>
    <w:rsid w:val="00AB0FCC"/>
    <w:rsid w:val="00AB14E1"/>
    <w:rsid w:val="00AB180E"/>
    <w:rsid w:val="00AB185C"/>
    <w:rsid w:val="00AB19A4"/>
    <w:rsid w:val="00AB21A2"/>
    <w:rsid w:val="00AB2229"/>
    <w:rsid w:val="00AB223A"/>
    <w:rsid w:val="00AB23C6"/>
    <w:rsid w:val="00AB2869"/>
    <w:rsid w:val="00AB29D2"/>
    <w:rsid w:val="00AB2CC2"/>
    <w:rsid w:val="00AB2E00"/>
    <w:rsid w:val="00AB2F5E"/>
    <w:rsid w:val="00AB2FC1"/>
    <w:rsid w:val="00AB30D5"/>
    <w:rsid w:val="00AB3CEF"/>
    <w:rsid w:val="00AB3D22"/>
    <w:rsid w:val="00AB3F61"/>
    <w:rsid w:val="00AB40EE"/>
    <w:rsid w:val="00AB4250"/>
    <w:rsid w:val="00AB4677"/>
    <w:rsid w:val="00AB46E0"/>
    <w:rsid w:val="00AB4865"/>
    <w:rsid w:val="00AB4C44"/>
    <w:rsid w:val="00AB5319"/>
    <w:rsid w:val="00AB5389"/>
    <w:rsid w:val="00AB53DB"/>
    <w:rsid w:val="00AB557A"/>
    <w:rsid w:val="00AB5A65"/>
    <w:rsid w:val="00AB5D66"/>
    <w:rsid w:val="00AB60FF"/>
    <w:rsid w:val="00AB6449"/>
    <w:rsid w:val="00AB657F"/>
    <w:rsid w:val="00AB707B"/>
    <w:rsid w:val="00AB7278"/>
    <w:rsid w:val="00AB72AC"/>
    <w:rsid w:val="00AB72EF"/>
    <w:rsid w:val="00AB7589"/>
    <w:rsid w:val="00AC004A"/>
    <w:rsid w:val="00AC0119"/>
    <w:rsid w:val="00AC033F"/>
    <w:rsid w:val="00AC037A"/>
    <w:rsid w:val="00AC0750"/>
    <w:rsid w:val="00AC0D3A"/>
    <w:rsid w:val="00AC0E42"/>
    <w:rsid w:val="00AC1140"/>
    <w:rsid w:val="00AC151C"/>
    <w:rsid w:val="00AC238C"/>
    <w:rsid w:val="00AC27AD"/>
    <w:rsid w:val="00AC2D29"/>
    <w:rsid w:val="00AC2F8E"/>
    <w:rsid w:val="00AC3C6A"/>
    <w:rsid w:val="00AC3EFE"/>
    <w:rsid w:val="00AC41B2"/>
    <w:rsid w:val="00AC4604"/>
    <w:rsid w:val="00AC47BD"/>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1AFD"/>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765"/>
    <w:rsid w:val="00AD6EFA"/>
    <w:rsid w:val="00AD6F44"/>
    <w:rsid w:val="00AD7253"/>
    <w:rsid w:val="00AD733A"/>
    <w:rsid w:val="00AD741B"/>
    <w:rsid w:val="00AD7A91"/>
    <w:rsid w:val="00AE0042"/>
    <w:rsid w:val="00AE0274"/>
    <w:rsid w:val="00AE04BC"/>
    <w:rsid w:val="00AE0D7D"/>
    <w:rsid w:val="00AE1403"/>
    <w:rsid w:val="00AE148B"/>
    <w:rsid w:val="00AE1917"/>
    <w:rsid w:val="00AE1EBD"/>
    <w:rsid w:val="00AE1F63"/>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0E33"/>
    <w:rsid w:val="00AF15B8"/>
    <w:rsid w:val="00AF16D1"/>
    <w:rsid w:val="00AF1BE7"/>
    <w:rsid w:val="00AF209F"/>
    <w:rsid w:val="00AF2205"/>
    <w:rsid w:val="00AF23A1"/>
    <w:rsid w:val="00AF2A6D"/>
    <w:rsid w:val="00AF2B0C"/>
    <w:rsid w:val="00AF33F6"/>
    <w:rsid w:val="00AF34A6"/>
    <w:rsid w:val="00AF3CF2"/>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5D4"/>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A02"/>
    <w:rsid w:val="00B05EB5"/>
    <w:rsid w:val="00B06737"/>
    <w:rsid w:val="00B069FC"/>
    <w:rsid w:val="00B06B1C"/>
    <w:rsid w:val="00B06DFC"/>
    <w:rsid w:val="00B07356"/>
    <w:rsid w:val="00B1040F"/>
    <w:rsid w:val="00B113DD"/>
    <w:rsid w:val="00B11A1A"/>
    <w:rsid w:val="00B12315"/>
    <w:rsid w:val="00B12496"/>
    <w:rsid w:val="00B1252E"/>
    <w:rsid w:val="00B12565"/>
    <w:rsid w:val="00B13305"/>
    <w:rsid w:val="00B13315"/>
    <w:rsid w:val="00B13CEE"/>
    <w:rsid w:val="00B14C1A"/>
    <w:rsid w:val="00B14EA3"/>
    <w:rsid w:val="00B14FDF"/>
    <w:rsid w:val="00B15097"/>
    <w:rsid w:val="00B1521D"/>
    <w:rsid w:val="00B15672"/>
    <w:rsid w:val="00B15B29"/>
    <w:rsid w:val="00B15B80"/>
    <w:rsid w:val="00B16985"/>
    <w:rsid w:val="00B16993"/>
    <w:rsid w:val="00B16DFE"/>
    <w:rsid w:val="00B17451"/>
    <w:rsid w:val="00B17543"/>
    <w:rsid w:val="00B17D65"/>
    <w:rsid w:val="00B20400"/>
    <w:rsid w:val="00B212C9"/>
    <w:rsid w:val="00B2147B"/>
    <w:rsid w:val="00B21A35"/>
    <w:rsid w:val="00B21C2E"/>
    <w:rsid w:val="00B21DE1"/>
    <w:rsid w:val="00B21FD6"/>
    <w:rsid w:val="00B22748"/>
    <w:rsid w:val="00B22E11"/>
    <w:rsid w:val="00B23493"/>
    <w:rsid w:val="00B237F1"/>
    <w:rsid w:val="00B2391B"/>
    <w:rsid w:val="00B23A16"/>
    <w:rsid w:val="00B23A7D"/>
    <w:rsid w:val="00B24462"/>
    <w:rsid w:val="00B244F7"/>
    <w:rsid w:val="00B247AB"/>
    <w:rsid w:val="00B24F10"/>
    <w:rsid w:val="00B25324"/>
    <w:rsid w:val="00B2539D"/>
    <w:rsid w:val="00B25660"/>
    <w:rsid w:val="00B259C8"/>
    <w:rsid w:val="00B25AB0"/>
    <w:rsid w:val="00B26183"/>
    <w:rsid w:val="00B264C1"/>
    <w:rsid w:val="00B267D9"/>
    <w:rsid w:val="00B27008"/>
    <w:rsid w:val="00B27135"/>
    <w:rsid w:val="00B27375"/>
    <w:rsid w:val="00B27546"/>
    <w:rsid w:val="00B27732"/>
    <w:rsid w:val="00B27B26"/>
    <w:rsid w:val="00B27C76"/>
    <w:rsid w:val="00B27D05"/>
    <w:rsid w:val="00B30499"/>
    <w:rsid w:val="00B30AF2"/>
    <w:rsid w:val="00B30F13"/>
    <w:rsid w:val="00B314A5"/>
    <w:rsid w:val="00B31868"/>
    <w:rsid w:val="00B31D3E"/>
    <w:rsid w:val="00B31DDE"/>
    <w:rsid w:val="00B31E3D"/>
    <w:rsid w:val="00B32032"/>
    <w:rsid w:val="00B3212B"/>
    <w:rsid w:val="00B32574"/>
    <w:rsid w:val="00B32606"/>
    <w:rsid w:val="00B328DE"/>
    <w:rsid w:val="00B3334F"/>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1A48"/>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51"/>
    <w:rsid w:val="00B47967"/>
    <w:rsid w:val="00B47978"/>
    <w:rsid w:val="00B479E9"/>
    <w:rsid w:val="00B47A74"/>
    <w:rsid w:val="00B50AEC"/>
    <w:rsid w:val="00B51186"/>
    <w:rsid w:val="00B5171E"/>
    <w:rsid w:val="00B51C31"/>
    <w:rsid w:val="00B51E68"/>
    <w:rsid w:val="00B52A13"/>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66F0"/>
    <w:rsid w:val="00B57477"/>
    <w:rsid w:val="00B574C7"/>
    <w:rsid w:val="00B57DCA"/>
    <w:rsid w:val="00B6000A"/>
    <w:rsid w:val="00B60118"/>
    <w:rsid w:val="00B61097"/>
    <w:rsid w:val="00B61864"/>
    <w:rsid w:val="00B61DE8"/>
    <w:rsid w:val="00B61F86"/>
    <w:rsid w:val="00B624E5"/>
    <w:rsid w:val="00B6266A"/>
    <w:rsid w:val="00B62808"/>
    <w:rsid w:val="00B62BDC"/>
    <w:rsid w:val="00B63112"/>
    <w:rsid w:val="00B632AA"/>
    <w:rsid w:val="00B63329"/>
    <w:rsid w:val="00B63605"/>
    <w:rsid w:val="00B637E0"/>
    <w:rsid w:val="00B639B9"/>
    <w:rsid w:val="00B63AE0"/>
    <w:rsid w:val="00B63BBD"/>
    <w:rsid w:val="00B63DB5"/>
    <w:rsid w:val="00B641F9"/>
    <w:rsid w:val="00B642B4"/>
    <w:rsid w:val="00B6516B"/>
    <w:rsid w:val="00B65851"/>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3B7"/>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3FF8"/>
    <w:rsid w:val="00B7547D"/>
    <w:rsid w:val="00B755E5"/>
    <w:rsid w:val="00B7595E"/>
    <w:rsid w:val="00B75A21"/>
    <w:rsid w:val="00B75E01"/>
    <w:rsid w:val="00B7619B"/>
    <w:rsid w:val="00B762C0"/>
    <w:rsid w:val="00B7661B"/>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7D1"/>
    <w:rsid w:val="00B838C6"/>
    <w:rsid w:val="00B83B4E"/>
    <w:rsid w:val="00B840D4"/>
    <w:rsid w:val="00B843B5"/>
    <w:rsid w:val="00B84A8E"/>
    <w:rsid w:val="00B84BD5"/>
    <w:rsid w:val="00B84C02"/>
    <w:rsid w:val="00B85466"/>
    <w:rsid w:val="00B8549D"/>
    <w:rsid w:val="00B8582F"/>
    <w:rsid w:val="00B85FCB"/>
    <w:rsid w:val="00B865D5"/>
    <w:rsid w:val="00B865F2"/>
    <w:rsid w:val="00B868B2"/>
    <w:rsid w:val="00B86A75"/>
    <w:rsid w:val="00B86C6B"/>
    <w:rsid w:val="00B87285"/>
    <w:rsid w:val="00B872ED"/>
    <w:rsid w:val="00B875BA"/>
    <w:rsid w:val="00B8794B"/>
    <w:rsid w:val="00B87ABC"/>
    <w:rsid w:val="00B87FBC"/>
    <w:rsid w:val="00B902A1"/>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593"/>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2E"/>
    <w:rsid w:val="00BA7143"/>
    <w:rsid w:val="00BA7457"/>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C67"/>
    <w:rsid w:val="00BB3D7A"/>
    <w:rsid w:val="00BB3E7C"/>
    <w:rsid w:val="00BB43EE"/>
    <w:rsid w:val="00BB45A9"/>
    <w:rsid w:val="00BB4873"/>
    <w:rsid w:val="00BB4AA1"/>
    <w:rsid w:val="00BB512A"/>
    <w:rsid w:val="00BB5736"/>
    <w:rsid w:val="00BB5A14"/>
    <w:rsid w:val="00BB5C88"/>
    <w:rsid w:val="00BB60AE"/>
    <w:rsid w:val="00BB62D8"/>
    <w:rsid w:val="00BB6592"/>
    <w:rsid w:val="00BB6E82"/>
    <w:rsid w:val="00BB7070"/>
    <w:rsid w:val="00BB70DB"/>
    <w:rsid w:val="00BB72DF"/>
    <w:rsid w:val="00BB7A84"/>
    <w:rsid w:val="00BB7D42"/>
    <w:rsid w:val="00BC01EA"/>
    <w:rsid w:val="00BC0478"/>
    <w:rsid w:val="00BC05BC"/>
    <w:rsid w:val="00BC0628"/>
    <w:rsid w:val="00BC0A1E"/>
    <w:rsid w:val="00BC0B8F"/>
    <w:rsid w:val="00BC1375"/>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62C"/>
    <w:rsid w:val="00BC771A"/>
    <w:rsid w:val="00BC77E1"/>
    <w:rsid w:val="00BC7C8A"/>
    <w:rsid w:val="00BC7D6C"/>
    <w:rsid w:val="00BC7E47"/>
    <w:rsid w:val="00BD0132"/>
    <w:rsid w:val="00BD0467"/>
    <w:rsid w:val="00BD0C9A"/>
    <w:rsid w:val="00BD0D89"/>
    <w:rsid w:val="00BD0D8A"/>
    <w:rsid w:val="00BD0DCB"/>
    <w:rsid w:val="00BD1034"/>
    <w:rsid w:val="00BD10A4"/>
    <w:rsid w:val="00BD1A3B"/>
    <w:rsid w:val="00BD1B0C"/>
    <w:rsid w:val="00BD1B23"/>
    <w:rsid w:val="00BD2253"/>
    <w:rsid w:val="00BD260E"/>
    <w:rsid w:val="00BD26F2"/>
    <w:rsid w:val="00BD2D6F"/>
    <w:rsid w:val="00BD30CB"/>
    <w:rsid w:val="00BD3312"/>
    <w:rsid w:val="00BD3428"/>
    <w:rsid w:val="00BD3C7F"/>
    <w:rsid w:val="00BD3DE6"/>
    <w:rsid w:val="00BD4455"/>
    <w:rsid w:val="00BD44D7"/>
    <w:rsid w:val="00BD4739"/>
    <w:rsid w:val="00BD4B1E"/>
    <w:rsid w:val="00BD4CFC"/>
    <w:rsid w:val="00BD4DB1"/>
    <w:rsid w:val="00BD5177"/>
    <w:rsid w:val="00BD5252"/>
    <w:rsid w:val="00BD542B"/>
    <w:rsid w:val="00BD558E"/>
    <w:rsid w:val="00BD5DA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5BE"/>
    <w:rsid w:val="00BE1E32"/>
    <w:rsid w:val="00BE1F40"/>
    <w:rsid w:val="00BE1F76"/>
    <w:rsid w:val="00BE200C"/>
    <w:rsid w:val="00BE2494"/>
    <w:rsid w:val="00BE2770"/>
    <w:rsid w:val="00BE28CA"/>
    <w:rsid w:val="00BE2CEF"/>
    <w:rsid w:val="00BE3612"/>
    <w:rsid w:val="00BE38BD"/>
    <w:rsid w:val="00BE3A97"/>
    <w:rsid w:val="00BE3B0F"/>
    <w:rsid w:val="00BE3BB1"/>
    <w:rsid w:val="00BE3F72"/>
    <w:rsid w:val="00BE4389"/>
    <w:rsid w:val="00BE45D1"/>
    <w:rsid w:val="00BE4817"/>
    <w:rsid w:val="00BE4B8A"/>
    <w:rsid w:val="00BE4C3D"/>
    <w:rsid w:val="00BE4CDF"/>
    <w:rsid w:val="00BE4D13"/>
    <w:rsid w:val="00BE5385"/>
    <w:rsid w:val="00BE53A4"/>
    <w:rsid w:val="00BE54CA"/>
    <w:rsid w:val="00BE59B4"/>
    <w:rsid w:val="00BE5D4C"/>
    <w:rsid w:val="00BE5F77"/>
    <w:rsid w:val="00BE6124"/>
    <w:rsid w:val="00BE64E6"/>
    <w:rsid w:val="00BE68FA"/>
    <w:rsid w:val="00BE696E"/>
    <w:rsid w:val="00BE69F5"/>
    <w:rsid w:val="00BE6BA3"/>
    <w:rsid w:val="00BE76A4"/>
    <w:rsid w:val="00BE793D"/>
    <w:rsid w:val="00BF082D"/>
    <w:rsid w:val="00BF090B"/>
    <w:rsid w:val="00BF12B9"/>
    <w:rsid w:val="00BF16CC"/>
    <w:rsid w:val="00BF1ED8"/>
    <w:rsid w:val="00BF1FCE"/>
    <w:rsid w:val="00BF2064"/>
    <w:rsid w:val="00BF272D"/>
    <w:rsid w:val="00BF294B"/>
    <w:rsid w:val="00BF2B41"/>
    <w:rsid w:val="00BF2D38"/>
    <w:rsid w:val="00BF2DF0"/>
    <w:rsid w:val="00BF2E4C"/>
    <w:rsid w:val="00BF32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2C7"/>
    <w:rsid w:val="00BF72D5"/>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D9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4E9D"/>
    <w:rsid w:val="00C05502"/>
    <w:rsid w:val="00C0632B"/>
    <w:rsid w:val="00C064F4"/>
    <w:rsid w:val="00C07170"/>
    <w:rsid w:val="00C0782E"/>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6E0F"/>
    <w:rsid w:val="00C17134"/>
    <w:rsid w:val="00C172C3"/>
    <w:rsid w:val="00C17311"/>
    <w:rsid w:val="00C17359"/>
    <w:rsid w:val="00C173BD"/>
    <w:rsid w:val="00C173E9"/>
    <w:rsid w:val="00C17596"/>
    <w:rsid w:val="00C17B2E"/>
    <w:rsid w:val="00C204CF"/>
    <w:rsid w:val="00C20B7F"/>
    <w:rsid w:val="00C20B9D"/>
    <w:rsid w:val="00C2105A"/>
    <w:rsid w:val="00C21185"/>
    <w:rsid w:val="00C21473"/>
    <w:rsid w:val="00C214D0"/>
    <w:rsid w:val="00C214E4"/>
    <w:rsid w:val="00C2199C"/>
    <w:rsid w:val="00C21E05"/>
    <w:rsid w:val="00C21FC5"/>
    <w:rsid w:val="00C2201A"/>
    <w:rsid w:val="00C22122"/>
    <w:rsid w:val="00C223BA"/>
    <w:rsid w:val="00C229B3"/>
    <w:rsid w:val="00C22D21"/>
    <w:rsid w:val="00C22E03"/>
    <w:rsid w:val="00C23222"/>
    <w:rsid w:val="00C23D7F"/>
    <w:rsid w:val="00C243B7"/>
    <w:rsid w:val="00C244C9"/>
    <w:rsid w:val="00C2451C"/>
    <w:rsid w:val="00C24667"/>
    <w:rsid w:val="00C24DEA"/>
    <w:rsid w:val="00C24FC3"/>
    <w:rsid w:val="00C25517"/>
    <w:rsid w:val="00C259D5"/>
    <w:rsid w:val="00C25CF0"/>
    <w:rsid w:val="00C264D6"/>
    <w:rsid w:val="00C26576"/>
    <w:rsid w:val="00C26B96"/>
    <w:rsid w:val="00C2751B"/>
    <w:rsid w:val="00C275BE"/>
    <w:rsid w:val="00C27766"/>
    <w:rsid w:val="00C27D7B"/>
    <w:rsid w:val="00C3004C"/>
    <w:rsid w:val="00C30246"/>
    <w:rsid w:val="00C30734"/>
    <w:rsid w:val="00C30849"/>
    <w:rsid w:val="00C30AB9"/>
    <w:rsid w:val="00C30EA9"/>
    <w:rsid w:val="00C31C91"/>
    <w:rsid w:val="00C31CA2"/>
    <w:rsid w:val="00C329C7"/>
    <w:rsid w:val="00C32E7B"/>
    <w:rsid w:val="00C33319"/>
    <w:rsid w:val="00C33341"/>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553"/>
    <w:rsid w:val="00C42733"/>
    <w:rsid w:val="00C42E6A"/>
    <w:rsid w:val="00C435AB"/>
    <w:rsid w:val="00C43BAB"/>
    <w:rsid w:val="00C44B7B"/>
    <w:rsid w:val="00C457C9"/>
    <w:rsid w:val="00C467D4"/>
    <w:rsid w:val="00C46CC2"/>
    <w:rsid w:val="00C46F98"/>
    <w:rsid w:val="00C47167"/>
    <w:rsid w:val="00C476B3"/>
    <w:rsid w:val="00C47832"/>
    <w:rsid w:val="00C502C8"/>
    <w:rsid w:val="00C50339"/>
    <w:rsid w:val="00C503C3"/>
    <w:rsid w:val="00C50D73"/>
    <w:rsid w:val="00C50F75"/>
    <w:rsid w:val="00C514D3"/>
    <w:rsid w:val="00C51ACC"/>
    <w:rsid w:val="00C51EE3"/>
    <w:rsid w:val="00C520E6"/>
    <w:rsid w:val="00C52401"/>
    <w:rsid w:val="00C525A0"/>
    <w:rsid w:val="00C52F03"/>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02F"/>
    <w:rsid w:val="00C658AB"/>
    <w:rsid w:val="00C66155"/>
    <w:rsid w:val="00C663BF"/>
    <w:rsid w:val="00C666FA"/>
    <w:rsid w:val="00C66893"/>
    <w:rsid w:val="00C669E0"/>
    <w:rsid w:val="00C67020"/>
    <w:rsid w:val="00C6704D"/>
    <w:rsid w:val="00C672AF"/>
    <w:rsid w:val="00C67BE9"/>
    <w:rsid w:val="00C67EFD"/>
    <w:rsid w:val="00C70019"/>
    <w:rsid w:val="00C705E6"/>
    <w:rsid w:val="00C713E7"/>
    <w:rsid w:val="00C71631"/>
    <w:rsid w:val="00C716E6"/>
    <w:rsid w:val="00C71906"/>
    <w:rsid w:val="00C71A03"/>
    <w:rsid w:val="00C720CC"/>
    <w:rsid w:val="00C7235B"/>
    <w:rsid w:val="00C724E8"/>
    <w:rsid w:val="00C72658"/>
    <w:rsid w:val="00C7301F"/>
    <w:rsid w:val="00C73F99"/>
    <w:rsid w:val="00C7441C"/>
    <w:rsid w:val="00C74E10"/>
    <w:rsid w:val="00C74FD2"/>
    <w:rsid w:val="00C75487"/>
    <w:rsid w:val="00C757FD"/>
    <w:rsid w:val="00C75861"/>
    <w:rsid w:val="00C758B4"/>
    <w:rsid w:val="00C75A33"/>
    <w:rsid w:val="00C75ABB"/>
    <w:rsid w:val="00C75FC0"/>
    <w:rsid w:val="00C773E7"/>
    <w:rsid w:val="00C77AFC"/>
    <w:rsid w:val="00C77BB6"/>
    <w:rsid w:val="00C77CA7"/>
    <w:rsid w:val="00C77F58"/>
    <w:rsid w:val="00C8076A"/>
    <w:rsid w:val="00C80BF5"/>
    <w:rsid w:val="00C813B1"/>
    <w:rsid w:val="00C81439"/>
    <w:rsid w:val="00C8165F"/>
    <w:rsid w:val="00C816E3"/>
    <w:rsid w:val="00C817CD"/>
    <w:rsid w:val="00C819B6"/>
    <w:rsid w:val="00C81B57"/>
    <w:rsid w:val="00C81BEB"/>
    <w:rsid w:val="00C81D53"/>
    <w:rsid w:val="00C82753"/>
    <w:rsid w:val="00C828C5"/>
    <w:rsid w:val="00C82FBE"/>
    <w:rsid w:val="00C83198"/>
    <w:rsid w:val="00C8323A"/>
    <w:rsid w:val="00C83324"/>
    <w:rsid w:val="00C83E5E"/>
    <w:rsid w:val="00C84073"/>
    <w:rsid w:val="00C84937"/>
    <w:rsid w:val="00C84E6D"/>
    <w:rsid w:val="00C855C6"/>
    <w:rsid w:val="00C8585D"/>
    <w:rsid w:val="00C85EC0"/>
    <w:rsid w:val="00C8604E"/>
    <w:rsid w:val="00C86563"/>
    <w:rsid w:val="00C86893"/>
    <w:rsid w:val="00C86C82"/>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3A"/>
    <w:rsid w:val="00C94DB9"/>
    <w:rsid w:val="00C9522B"/>
    <w:rsid w:val="00C95405"/>
    <w:rsid w:val="00C95D64"/>
    <w:rsid w:val="00C96004"/>
    <w:rsid w:val="00C96077"/>
    <w:rsid w:val="00C96284"/>
    <w:rsid w:val="00C96DFB"/>
    <w:rsid w:val="00C97426"/>
    <w:rsid w:val="00C97768"/>
    <w:rsid w:val="00CA01BA"/>
    <w:rsid w:val="00CA0C99"/>
    <w:rsid w:val="00CA0F79"/>
    <w:rsid w:val="00CA120F"/>
    <w:rsid w:val="00CA1620"/>
    <w:rsid w:val="00CA1C0E"/>
    <w:rsid w:val="00CA1CEA"/>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A60"/>
    <w:rsid w:val="00CB0B2B"/>
    <w:rsid w:val="00CB0E4E"/>
    <w:rsid w:val="00CB0E69"/>
    <w:rsid w:val="00CB0F05"/>
    <w:rsid w:val="00CB1A3A"/>
    <w:rsid w:val="00CB1E89"/>
    <w:rsid w:val="00CB2046"/>
    <w:rsid w:val="00CB2EC0"/>
    <w:rsid w:val="00CB34B7"/>
    <w:rsid w:val="00CB40DB"/>
    <w:rsid w:val="00CB41FF"/>
    <w:rsid w:val="00CB42D0"/>
    <w:rsid w:val="00CB4485"/>
    <w:rsid w:val="00CB46A3"/>
    <w:rsid w:val="00CB4ABA"/>
    <w:rsid w:val="00CB53F6"/>
    <w:rsid w:val="00CB5994"/>
    <w:rsid w:val="00CB5A20"/>
    <w:rsid w:val="00CB64D9"/>
    <w:rsid w:val="00CB7F96"/>
    <w:rsid w:val="00CC02B1"/>
    <w:rsid w:val="00CC0663"/>
    <w:rsid w:val="00CC106E"/>
    <w:rsid w:val="00CC1655"/>
    <w:rsid w:val="00CC1E9E"/>
    <w:rsid w:val="00CC212F"/>
    <w:rsid w:val="00CC225A"/>
    <w:rsid w:val="00CC24C2"/>
    <w:rsid w:val="00CC25BD"/>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587"/>
    <w:rsid w:val="00CC5832"/>
    <w:rsid w:val="00CC5ED6"/>
    <w:rsid w:val="00CC601C"/>
    <w:rsid w:val="00CC61E2"/>
    <w:rsid w:val="00CC6924"/>
    <w:rsid w:val="00CC69CE"/>
    <w:rsid w:val="00CC6FDE"/>
    <w:rsid w:val="00CC70B2"/>
    <w:rsid w:val="00CC7721"/>
    <w:rsid w:val="00CC7BCB"/>
    <w:rsid w:val="00CC7C4B"/>
    <w:rsid w:val="00CC7C76"/>
    <w:rsid w:val="00CD037D"/>
    <w:rsid w:val="00CD0445"/>
    <w:rsid w:val="00CD060E"/>
    <w:rsid w:val="00CD085D"/>
    <w:rsid w:val="00CD08F1"/>
    <w:rsid w:val="00CD1052"/>
    <w:rsid w:val="00CD107C"/>
    <w:rsid w:val="00CD10D5"/>
    <w:rsid w:val="00CD16BE"/>
    <w:rsid w:val="00CD2096"/>
    <w:rsid w:val="00CD2188"/>
    <w:rsid w:val="00CD23E3"/>
    <w:rsid w:val="00CD25DE"/>
    <w:rsid w:val="00CD29BB"/>
    <w:rsid w:val="00CD2A89"/>
    <w:rsid w:val="00CD3678"/>
    <w:rsid w:val="00CD3848"/>
    <w:rsid w:val="00CD38C9"/>
    <w:rsid w:val="00CD39A5"/>
    <w:rsid w:val="00CD3F6C"/>
    <w:rsid w:val="00CD4447"/>
    <w:rsid w:val="00CD4819"/>
    <w:rsid w:val="00CD4FEC"/>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51E"/>
    <w:rsid w:val="00CE1918"/>
    <w:rsid w:val="00CE1B94"/>
    <w:rsid w:val="00CE1BA7"/>
    <w:rsid w:val="00CE1D43"/>
    <w:rsid w:val="00CE1E74"/>
    <w:rsid w:val="00CE21FE"/>
    <w:rsid w:val="00CE229B"/>
    <w:rsid w:val="00CE2539"/>
    <w:rsid w:val="00CE2DD4"/>
    <w:rsid w:val="00CE2E71"/>
    <w:rsid w:val="00CE30DA"/>
    <w:rsid w:val="00CE34DC"/>
    <w:rsid w:val="00CE3AD6"/>
    <w:rsid w:val="00CE430A"/>
    <w:rsid w:val="00CE44DA"/>
    <w:rsid w:val="00CE4D0E"/>
    <w:rsid w:val="00CE5258"/>
    <w:rsid w:val="00CE538E"/>
    <w:rsid w:val="00CE5D29"/>
    <w:rsid w:val="00CE5F66"/>
    <w:rsid w:val="00CE628A"/>
    <w:rsid w:val="00CE64B2"/>
    <w:rsid w:val="00CE6504"/>
    <w:rsid w:val="00CE6614"/>
    <w:rsid w:val="00CE6ABF"/>
    <w:rsid w:val="00CE6C99"/>
    <w:rsid w:val="00CE6D1E"/>
    <w:rsid w:val="00CE6E3C"/>
    <w:rsid w:val="00CE7308"/>
    <w:rsid w:val="00CE7A51"/>
    <w:rsid w:val="00CE7E19"/>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0EA"/>
    <w:rsid w:val="00CF4138"/>
    <w:rsid w:val="00CF42ED"/>
    <w:rsid w:val="00CF4871"/>
    <w:rsid w:val="00CF4946"/>
    <w:rsid w:val="00CF4AB5"/>
    <w:rsid w:val="00CF5302"/>
    <w:rsid w:val="00CF53B9"/>
    <w:rsid w:val="00CF5557"/>
    <w:rsid w:val="00CF583F"/>
    <w:rsid w:val="00CF5ED5"/>
    <w:rsid w:val="00CF6140"/>
    <w:rsid w:val="00CF61A8"/>
    <w:rsid w:val="00CF6596"/>
    <w:rsid w:val="00CF6782"/>
    <w:rsid w:val="00CF67BC"/>
    <w:rsid w:val="00CF6B46"/>
    <w:rsid w:val="00CF6BAB"/>
    <w:rsid w:val="00CF6CCB"/>
    <w:rsid w:val="00CF6EE7"/>
    <w:rsid w:val="00CF70A9"/>
    <w:rsid w:val="00CF7452"/>
    <w:rsid w:val="00CF76CF"/>
    <w:rsid w:val="00CF772C"/>
    <w:rsid w:val="00CF7D4C"/>
    <w:rsid w:val="00D00B91"/>
    <w:rsid w:val="00D0138A"/>
    <w:rsid w:val="00D01710"/>
    <w:rsid w:val="00D019C1"/>
    <w:rsid w:val="00D01B7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B8F"/>
    <w:rsid w:val="00D05DE5"/>
    <w:rsid w:val="00D05DFF"/>
    <w:rsid w:val="00D05E82"/>
    <w:rsid w:val="00D05FB0"/>
    <w:rsid w:val="00D06356"/>
    <w:rsid w:val="00D06CC9"/>
    <w:rsid w:val="00D06EC0"/>
    <w:rsid w:val="00D06FDD"/>
    <w:rsid w:val="00D0734B"/>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3F2C"/>
    <w:rsid w:val="00D14518"/>
    <w:rsid w:val="00D14735"/>
    <w:rsid w:val="00D1478F"/>
    <w:rsid w:val="00D147AC"/>
    <w:rsid w:val="00D147E7"/>
    <w:rsid w:val="00D14918"/>
    <w:rsid w:val="00D14BE6"/>
    <w:rsid w:val="00D1506A"/>
    <w:rsid w:val="00D151F7"/>
    <w:rsid w:val="00D15DCD"/>
    <w:rsid w:val="00D16644"/>
    <w:rsid w:val="00D1672E"/>
    <w:rsid w:val="00D16BDC"/>
    <w:rsid w:val="00D16C53"/>
    <w:rsid w:val="00D16EB8"/>
    <w:rsid w:val="00D17295"/>
    <w:rsid w:val="00D178E0"/>
    <w:rsid w:val="00D17ABE"/>
    <w:rsid w:val="00D20117"/>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5596"/>
    <w:rsid w:val="00D25844"/>
    <w:rsid w:val="00D26143"/>
    <w:rsid w:val="00D2674D"/>
    <w:rsid w:val="00D26C43"/>
    <w:rsid w:val="00D270E3"/>
    <w:rsid w:val="00D271E5"/>
    <w:rsid w:val="00D278E9"/>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0B"/>
    <w:rsid w:val="00D374F5"/>
    <w:rsid w:val="00D37602"/>
    <w:rsid w:val="00D3762C"/>
    <w:rsid w:val="00D37E73"/>
    <w:rsid w:val="00D40065"/>
    <w:rsid w:val="00D40762"/>
    <w:rsid w:val="00D40D10"/>
    <w:rsid w:val="00D40E4B"/>
    <w:rsid w:val="00D41048"/>
    <w:rsid w:val="00D411FE"/>
    <w:rsid w:val="00D4148A"/>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A51"/>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AB1"/>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1E7"/>
    <w:rsid w:val="00D544D1"/>
    <w:rsid w:val="00D545B5"/>
    <w:rsid w:val="00D54B93"/>
    <w:rsid w:val="00D54DDA"/>
    <w:rsid w:val="00D55101"/>
    <w:rsid w:val="00D554B3"/>
    <w:rsid w:val="00D55574"/>
    <w:rsid w:val="00D556C6"/>
    <w:rsid w:val="00D559CC"/>
    <w:rsid w:val="00D55BDD"/>
    <w:rsid w:val="00D572B9"/>
    <w:rsid w:val="00D577DD"/>
    <w:rsid w:val="00D57B45"/>
    <w:rsid w:val="00D57D7B"/>
    <w:rsid w:val="00D600C2"/>
    <w:rsid w:val="00D60162"/>
    <w:rsid w:val="00D603FF"/>
    <w:rsid w:val="00D60866"/>
    <w:rsid w:val="00D60B08"/>
    <w:rsid w:val="00D60F73"/>
    <w:rsid w:val="00D615C9"/>
    <w:rsid w:val="00D61A70"/>
    <w:rsid w:val="00D61AE8"/>
    <w:rsid w:val="00D61BB5"/>
    <w:rsid w:val="00D61D7F"/>
    <w:rsid w:val="00D61E0A"/>
    <w:rsid w:val="00D6210B"/>
    <w:rsid w:val="00D6226C"/>
    <w:rsid w:val="00D622DB"/>
    <w:rsid w:val="00D62356"/>
    <w:rsid w:val="00D626B5"/>
    <w:rsid w:val="00D626E1"/>
    <w:rsid w:val="00D62948"/>
    <w:rsid w:val="00D62D92"/>
    <w:rsid w:val="00D62DBB"/>
    <w:rsid w:val="00D630C3"/>
    <w:rsid w:val="00D634F1"/>
    <w:rsid w:val="00D63810"/>
    <w:rsid w:val="00D63B59"/>
    <w:rsid w:val="00D63C3F"/>
    <w:rsid w:val="00D63CF9"/>
    <w:rsid w:val="00D63DCF"/>
    <w:rsid w:val="00D63FF3"/>
    <w:rsid w:val="00D64412"/>
    <w:rsid w:val="00D64544"/>
    <w:rsid w:val="00D6475A"/>
    <w:rsid w:val="00D64853"/>
    <w:rsid w:val="00D6505D"/>
    <w:rsid w:val="00D650BC"/>
    <w:rsid w:val="00D651B6"/>
    <w:rsid w:val="00D662E0"/>
    <w:rsid w:val="00D66501"/>
    <w:rsid w:val="00D66ABE"/>
    <w:rsid w:val="00D66E01"/>
    <w:rsid w:val="00D66EC4"/>
    <w:rsid w:val="00D672DD"/>
    <w:rsid w:val="00D674AE"/>
    <w:rsid w:val="00D67BD1"/>
    <w:rsid w:val="00D67DB1"/>
    <w:rsid w:val="00D705BD"/>
    <w:rsid w:val="00D707DD"/>
    <w:rsid w:val="00D71653"/>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2D1"/>
    <w:rsid w:val="00D75492"/>
    <w:rsid w:val="00D75C1F"/>
    <w:rsid w:val="00D75E09"/>
    <w:rsid w:val="00D75E85"/>
    <w:rsid w:val="00D75F1F"/>
    <w:rsid w:val="00D76960"/>
    <w:rsid w:val="00D76B9C"/>
    <w:rsid w:val="00D76E2C"/>
    <w:rsid w:val="00D76F42"/>
    <w:rsid w:val="00D7738B"/>
    <w:rsid w:val="00D7795A"/>
    <w:rsid w:val="00D77C05"/>
    <w:rsid w:val="00D80055"/>
    <w:rsid w:val="00D8027B"/>
    <w:rsid w:val="00D8027E"/>
    <w:rsid w:val="00D80571"/>
    <w:rsid w:val="00D806D1"/>
    <w:rsid w:val="00D80837"/>
    <w:rsid w:val="00D810CC"/>
    <w:rsid w:val="00D81519"/>
    <w:rsid w:val="00D819B6"/>
    <w:rsid w:val="00D81AC1"/>
    <w:rsid w:val="00D81BE4"/>
    <w:rsid w:val="00D81DB8"/>
    <w:rsid w:val="00D82056"/>
    <w:rsid w:val="00D828BD"/>
    <w:rsid w:val="00D82AF0"/>
    <w:rsid w:val="00D82BC7"/>
    <w:rsid w:val="00D82D71"/>
    <w:rsid w:val="00D82D73"/>
    <w:rsid w:val="00D8340D"/>
    <w:rsid w:val="00D837E9"/>
    <w:rsid w:val="00D839E6"/>
    <w:rsid w:val="00D84139"/>
    <w:rsid w:val="00D84361"/>
    <w:rsid w:val="00D84543"/>
    <w:rsid w:val="00D8458A"/>
    <w:rsid w:val="00D84E13"/>
    <w:rsid w:val="00D84E4A"/>
    <w:rsid w:val="00D85D7C"/>
    <w:rsid w:val="00D85E87"/>
    <w:rsid w:val="00D86386"/>
    <w:rsid w:val="00D86FD6"/>
    <w:rsid w:val="00D87782"/>
    <w:rsid w:val="00D87806"/>
    <w:rsid w:val="00D87849"/>
    <w:rsid w:val="00D87B62"/>
    <w:rsid w:val="00D87EBC"/>
    <w:rsid w:val="00D903EA"/>
    <w:rsid w:val="00D90B43"/>
    <w:rsid w:val="00D90C65"/>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3CC9"/>
    <w:rsid w:val="00D940FC"/>
    <w:rsid w:val="00D94604"/>
    <w:rsid w:val="00D94BA6"/>
    <w:rsid w:val="00D952AF"/>
    <w:rsid w:val="00D95500"/>
    <w:rsid w:val="00D95982"/>
    <w:rsid w:val="00D95B95"/>
    <w:rsid w:val="00D95D7E"/>
    <w:rsid w:val="00D95FE2"/>
    <w:rsid w:val="00D965A9"/>
    <w:rsid w:val="00D96830"/>
    <w:rsid w:val="00D96CBA"/>
    <w:rsid w:val="00D96CFF"/>
    <w:rsid w:val="00D96EBC"/>
    <w:rsid w:val="00D97A92"/>
    <w:rsid w:val="00D97BCA"/>
    <w:rsid w:val="00D97EAB"/>
    <w:rsid w:val="00D97F40"/>
    <w:rsid w:val="00DA009B"/>
    <w:rsid w:val="00DA03FD"/>
    <w:rsid w:val="00DA0696"/>
    <w:rsid w:val="00DA0AA9"/>
    <w:rsid w:val="00DA0C6D"/>
    <w:rsid w:val="00DA0D45"/>
    <w:rsid w:val="00DA0F41"/>
    <w:rsid w:val="00DA1191"/>
    <w:rsid w:val="00DA14FA"/>
    <w:rsid w:val="00DA16B1"/>
    <w:rsid w:val="00DA1DB0"/>
    <w:rsid w:val="00DA22F2"/>
    <w:rsid w:val="00DA2768"/>
    <w:rsid w:val="00DA276F"/>
    <w:rsid w:val="00DA2A04"/>
    <w:rsid w:val="00DA2A3E"/>
    <w:rsid w:val="00DA2A9F"/>
    <w:rsid w:val="00DA2F93"/>
    <w:rsid w:val="00DA300F"/>
    <w:rsid w:val="00DA3495"/>
    <w:rsid w:val="00DA353A"/>
    <w:rsid w:val="00DA35D2"/>
    <w:rsid w:val="00DA4793"/>
    <w:rsid w:val="00DA4E87"/>
    <w:rsid w:val="00DA5119"/>
    <w:rsid w:val="00DA5168"/>
    <w:rsid w:val="00DA53AC"/>
    <w:rsid w:val="00DA57C4"/>
    <w:rsid w:val="00DA5881"/>
    <w:rsid w:val="00DA5911"/>
    <w:rsid w:val="00DA5EB7"/>
    <w:rsid w:val="00DA63B0"/>
    <w:rsid w:val="00DA63BA"/>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2FF"/>
    <w:rsid w:val="00DC1A47"/>
    <w:rsid w:val="00DC1ADB"/>
    <w:rsid w:val="00DC1F36"/>
    <w:rsid w:val="00DC283C"/>
    <w:rsid w:val="00DC2988"/>
    <w:rsid w:val="00DC29B8"/>
    <w:rsid w:val="00DC2AAB"/>
    <w:rsid w:val="00DC2F23"/>
    <w:rsid w:val="00DC35BC"/>
    <w:rsid w:val="00DC35F0"/>
    <w:rsid w:val="00DC37CD"/>
    <w:rsid w:val="00DC3973"/>
    <w:rsid w:val="00DC3BD3"/>
    <w:rsid w:val="00DC404B"/>
    <w:rsid w:val="00DC4CB9"/>
    <w:rsid w:val="00DC4F33"/>
    <w:rsid w:val="00DC5BE4"/>
    <w:rsid w:val="00DC60C5"/>
    <w:rsid w:val="00DC6684"/>
    <w:rsid w:val="00DC690A"/>
    <w:rsid w:val="00DC6BB6"/>
    <w:rsid w:val="00DC6F12"/>
    <w:rsid w:val="00DC6FB3"/>
    <w:rsid w:val="00DC7236"/>
    <w:rsid w:val="00DC7432"/>
    <w:rsid w:val="00DC78A4"/>
    <w:rsid w:val="00DC7B92"/>
    <w:rsid w:val="00DC7BD1"/>
    <w:rsid w:val="00DC7EC2"/>
    <w:rsid w:val="00DD0095"/>
    <w:rsid w:val="00DD04E0"/>
    <w:rsid w:val="00DD0731"/>
    <w:rsid w:val="00DD0856"/>
    <w:rsid w:val="00DD0A01"/>
    <w:rsid w:val="00DD0D63"/>
    <w:rsid w:val="00DD0F4B"/>
    <w:rsid w:val="00DD0FA5"/>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8E5"/>
    <w:rsid w:val="00DD6AC4"/>
    <w:rsid w:val="00DD6C4A"/>
    <w:rsid w:val="00DD6F4C"/>
    <w:rsid w:val="00DD73E6"/>
    <w:rsid w:val="00DD785D"/>
    <w:rsid w:val="00DD79D0"/>
    <w:rsid w:val="00DD7CD0"/>
    <w:rsid w:val="00DD7D25"/>
    <w:rsid w:val="00DD7FD9"/>
    <w:rsid w:val="00DE027E"/>
    <w:rsid w:val="00DE05BF"/>
    <w:rsid w:val="00DE0A41"/>
    <w:rsid w:val="00DE0A91"/>
    <w:rsid w:val="00DE0A9D"/>
    <w:rsid w:val="00DE0C77"/>
    <w:rsid w:val="00DE0D81"/>
    <w:rsid w:val="00DE14E3"/>
    <w:rsid w:val="00DE1568"/>
    <w:rsid w:val="00DE18AD"/>
    <w:rsid w:val="00DE295A"/>
    <w:rsid w:val="00DE2A52"/>
    <w:rsid w:val="00DE31E8"/>
    <w:rsid w:val="00DE327C"/>
    <w:rsid w:val="00DE3456"/>
    <w:rsid w:val="00DE356F"/>
    <w:rsid w:val="00DE39A1"/>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07B"/>
    <w:rsid w:val="00DF11AD"/>
    <w:rsid w:val="00DF11E3"/>
    <w:rsid w:val="00DF16B0"/>
    <w:rsid w:val="00DF1BFC"/>
    <w:rsid w:val="00DF2AEB"/>
    <w:rsid w:val="00DF2CD7"/>
    <w:rsid w:val="00DF2FC3"/>
    <w:rsid w:val="00DF308A"/>
    <w:rsid w:val="00DF316E"/>
    <w:rsid w:val="00DF3427"/>
    <w:rsid w:val="00DF3660"/>
    <w:rsid w:val="00DF38C5"/>
    <w:rsid w:val="00DF3A47"/>
    <w:rsid w:val="00DF4698"/>
    <w:rsid w:val="00DF4777"/>
    <w:rsid w:val="00DF4BC2"/>
    <w:rsid w:val="00DF4CB0"/>
    <w:rsid w:val="00DF4FEF"/>
    <w:rsid w:val="00DF5110"/>
    <w:rsid w:val="00DF516E"/>
    <w:rsid w:val="00DF581F"/>
    <w:rsid w:val="00DF59A7"/>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4ED9"/>
    <w:rsid w:val="00E0525F"/>
    <w:rsid w:val="00E054BF"/>
    <w:rsid w:val="00E05533"/>
    <w:rsid w:val="00E05C7B"/>
    <w:rsid w:val="00E05E6A"/>
    <w:rsid w:val="00E05F46"/>
    <w:rsid w:val="00E063C2"/>
    <w:rsid w:val="00E06723"/>
    <w:rsid w:val="00E06973"/>
    <w:rsid w:val="00E06C0A"/>
    <w:rsid w:val="00E070AF"/>
    <w:rsid w:val="00E07695"/>
    <w:rsid w:val="00E07A25"/>
    <w:rsid w:val="00E07D8A"/>
    <w:rsid w:val="00E07EE8"/>
    <w:rsid w:val="00E07F21"/>
    <w:rsid w:val="00E10529"/>
    <w:rsid w:val="00E10643"/>
    <w:rsid w:val="00E11042"/>
    <w:rsid w:val="00E11D4F"/>
    <w:rsid w:val="00E1249C"/>
    <w:rsid w:val="00E12591"/>
    <w:rsid w:val="00E127CD"/>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3F1"/>
    <w:rsid w:val="00E1790C"/>
    <w:rsid w:val="00E17939"/>
    <w:rsid w:val="00E17D3C"/>
    <w:rsid w:val="00E17FBA"/>
    <w:rsid w:val="00E17FCE"/>
    <w:rsid w:val="00E20169"/>
    <w:rsid w:val="00E205E9"/>
    <w:rsid w:val="00E20DD4"/>
    <w:rsid w:val="00E21229"/>
    <w:rsid w:val="00E21315"/>
    <w:rsid w:val="00E21C48"/>
    <w:rsid w:val="00E22511"/>
    <w:rsid w:val="00E228B3"/>
    <w:rsid w:val="00E229E6"/>
    <w:rsid w:val="00E22B61"/>
    <w:rsid w:val="00E22CBB"/>
    <w:rsid w:val="00E2368E"/>
    <w:rsid w:val="00E23716"/>
    <w:rsid w:val="00E23F4D"/>
    <w:rsid w:val="00E240B5"/>
    <w:rsid w:val="00E2433C"/>
    <w:rsid w:val="00E24BB3"/>
    <w:rsid w:val="00E24D2A"/>
    <w:rsid w:val="00E24F0C"/>
    <w:rsid w:val="00E254DF"/>
    <w:rsid w:val="00E25640"/>
    <w:rsid w:val="00E25700"/>
    <w:rsid w:val="00E25AE1"/>
    <w:rsid w:val="00E25B28"/>
    <w:rsid w:val="00E25BCB"/>
    <w:rsid w:val="00E25DC5"/>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0C87"/>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49"/>
    <w:rsid w:val="00E41FB5"/>
    <w:rsid w:val="00E424C2"/>
    <w:rsid w:val="00E428C2"/>
    <w:rsid w:val="00E42AE5"/>
    <w:rsid w:val="00E434C1"/>
    <w:rsid w:val="00E43C8F"/>
    <w:rsid w:val="00E43D1D"/>
    <w:rsid w:val="00E4490C"/>
    <w:rsid w:val="00E449DD"/>
    <w:rsid w:val="00E44B31"/>
    <w:rsid w:val="00E454D9"/>
    <w:rsid w:val="00E45919"/>
    <w:rsid w:val="00E45C0D"/>
    <w:rsid w:val="00E45EB8"/>
    <w:rsid w:val="00E46258"/>
    <w:rsid w:val="00E46482"/>
    <w:rsid w:val="00E46C0E"/>
    <w:rsid w:val="00E46D0E"/>
    <w:rsid w:val="00E46D3B"/>
    <w:rsid w:val="00E46DBC"/>
    <w:rsid w:val="00E4721A"/>
    <w:rsid w:val="00E47311"/>
    <w:rsid w:val="00E4733F"/>
    <w:rsid w:val="00E47BD3"/>
    <w:rsid w:val="00E47DCF"/>
    <w:rsid w:val="00E5043B"/>
    <w:rsid w:val="00E50BAD"/>
    <w:rsid w:val="00E50C8B"/>
    <w:rsid w:val="00E50E22"/>
    <w:rsid w:val="00E510CE"/>
    <w:rsid w:val="00E51350"/>
    <w:rsid w:val="00E51461"/>
    <w:rsid w:val="00E51518"/>
    <w:rsid w:val="00E51543"/>
    <w:rsid w:val="00E517B3"/>
    <w:rsid w:val="00E51915"/>
    <w:rsid w:val="00E51A52"/>
    <w:rsid w:val="00E522A7"/>
    <w:rsid w:val="00E52931"/>
    <w:rsid w:val="00E5294E"/>
    <w:rsid w:val="00E52965"/>
    <w:rsid w:val="00E53102"/>
    <w:rsid w:val="00E53663"/>
    <w:rsid w:val="00E53768"/>
    <w:rsid w:val="00E53FD7"/>
    <w:rsid w:val="00E54141"/>
    <w:rsid w:val="00E5532D"/>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1A2"/>
    <w:rsid w:val="00E63267"/>
    <w:rsid w:val="00E6326A"/>
    <w:rsid w:val="00E63579"/>
    <w:rsid w:val="00E635AD"/>
    <w:rsid w:val="00E636C8"/>
    <w:rsid w:val="00E63ADC"/>
    <w:rsid w:val="00E63E6F"/>
    <w:rsid w:val="00E6462C"/>
    <w:rsid w:val="00E646DE"/>
    <w:rsid w:val="00E64968"/>
    <w:rsid w:val="00E65044"/>
    <w:rsid w:val="00E65190"/>
    <w:rsid w:val="00E65589"/>
    <w:rsid w:val="00E65E02"/>
    <w:rsid w:val="00E65E46"/>
    <w:rsid w:val="00E666CC"/>
    <w:rsid w:val="00E66733"/>
    <w:rsid w:val="00E66B6C"/>
    <w:rsid w:val="00E67775"/>
    <w:rsid w:val="00E67FE3"/>
    <w:rsid w:val="00E7062E"/>
    <w:rsid w:val="00E70671"/>
    <w:rsid w:val="00E7067F"/>
    <w:rsid w:val="00E706C4"/>
    <w:rsid w:val="00E709AB"/>
    <w:rsid w:val="00E70AD5"/>
    <w:rsid w:val="00E711F9"/>
    <w:rsid w:val="00E717F3"/>
    <w:rsid w:val="00E7187A"/>
    <w:rsid w:val="00E71A37"/>
    <w:rsid w:val="00E71BD4"/>
    <w:rsid w:val="00E72ECC"/>
    <w:rsid w:val="00E73188"/>
    <w:rsid w:val="00E73A63"/>
    <w:rsid w:val="00E73B0C"/>
    <w:rsid w:val="00E73B72"/>
    <w:rsid w:val="00E73C44"/>
    <w:rsid w:val="00E73DEA"/>
    <w:rsid w:val="00E744BE"/>
    <w:rsid w:val="00E74744"/>
    <w:rsid w:val="00E7479A"/>
    <w:rsid w:val="00E747A8"/>
    <w:rsid w:val="00E75183"/>
    <w:rsid w:val="00E75499"/>
    <w:rsid w:val="00E756F8"/>
    <w:rsid w:val="00E75707"/>
    <w:rsid w:val="00E75942"/>
    <w:rsid w:val="00E75A2D"/>
    <w:rsid w:val="00E75CC8"/>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0FFF"/>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73B"/>
    <w:rsid w:val="00E84A8F"/>
    <w:rsid w:val="00E84CDC"/>
    <w:rsid w:val="00E84D08"/>
    <w:rsid w:val="00E850A3"/>
    <w:rsid w:val="00E85485"/>
    <w:rsid w:val="00E85704"/>
    <w:rsid w:val="00E85CD1"/>
    <w:rsid w:val="00E85EBF"/>
    <w:rsid w:val="00E86029"/>
    <w:rsid w:val="00E861A8"/>
    <w:rsid w:val="00E86954"/>
    <w:rsid w:val="00E86D8B"/>
    <w:rsid w:val="00E86F76"/>
    <w:rsid w:val="00E87D16"/>
    <w:rsid w:val="00E87FC3"/>
    <w:rsid w:val="00E9038F"/>
    <w:rsid w:val="00E904A8"/>
    <w:rsid w:val="00E90871"/>
    <w:rsid w:val="00E90968"/>
    <w:rsid w:val="00E90D7D"/>
    <w:rsid w:val="00E915EE"/>
    <w:rsid w:val="00E91608"/>
    <w:rsid w:val="00E92328"/>
    <w:rsid w:val="00E92411"/>
    <w:rsid w:val="00E924CF"/>
    <w:rsid w:val="00E92522"/>
    <w:rsid w:val="00E92B1D"/>
    <w:rsid w:val="00E92C20"/>
    <w:rsid w:val="00E92F0F"/>
    <w:rsid w:val="00E932AD"/>
    <w:rsid w:val="00E93575"/>
    <w:rsid w:val="00E936BB"/>
    <w:rsid w:val="00E93755"/>
    <w:rsid w:val="00E93A39"/>
    <w:rsid w:val="00E93B4C"/>
    <w:rsid w:val="00E93C0F"/>
    <w:rsid w:val="00E93F04"/>
    <w:rsid w:val="00E93FFE"/>
    <w:rsid w:val="00E9423E"/>
    <w:rsid w:val="00E945DD"/>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17"/>
    <w:rsid w:val="00EA23F4"/>
    <w:rsid w:val="00EA2697"/>
    <w:rsid w:val="00EA2981"/>
    <w:rsid w:val="00EA2AB4"/>
    <w:rsid w:val="00EA2B7A"/>
    <w:rsid w:val="00EA2F12"/>
    <w:rsid w:val="00EA2F1B"/>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DCD"/>
    <w:rsid w:val="00EB2E28"/>
    <w:rsid w:val="00EB3111"/>
    <w:rsid w:val="00EB36C9"/>
    <w:rsid w:val="00EB36D3"/>
    <w:rsid w:val="00EB37A3"/>
    <w:rsid w:val="00EB3BB1"/>
    <w:rsid w:val="00EB3C33"/>
    <w:rsid w:val="00EB3C52"/>
    <w:rsid w:val="00EB3FF5"/>
    <w:rsid w:val="00EB4BEF"/>
    <w:rsid w:val="00EB4BFA"/>
    <w:rsid w:val="00EB4D13"/>
    <w:rsid w:val="00EB4F49"/>
    <w:rsid w:val="00EB5253"/>
    <w:rsid w:val="00EB5573"/>
    <w:rsid w:val="00EB5791"/>
    <w:rsid w:val="00EB5874"/>
    <w:rsid w:val="00EB595A"/>
    <w:rsid w:val="00EB5A47"/>
    <w:rsid w:val="00EB5B1F"/>
    <w:rsid w:val="00EB5E07"/>
    <w:rsid w:val="00EB644D"/>
    <w:rsid w:val="00EB6A76"/>
    <w:rsid w:val="00EB6EDA"/>
    <w:rsid w:val="00EB7076"/>
    <w:rsid w:val="00EB7626"/>
    <w:rsid w:val="00EB76B4"/>
    <w:rsid w:val="00EB7E63"/>
    <w:rsid w:val="00EB7EFD"/>
    <w:rsid w:val="00EC03D1"/>
    <w:rsid w:val="00EC04A4"/>
    <w:rsid w:val="00EC09A3"/>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521"/>
    <w:rsid w:val="00EC4948"/>
    <w:rsid w:val="00EC4A64"/>
    <w:rsid w:val="00EC5933"/>
    <w:rsid w:val="00EC5EBB"/>
    <w:rsid w:val="00EC6090"/>
    <w:rsid w:val="00EC63B5"/>
    <w:rsid w:val="00EC6502"/>
    <w:rsid w:val="00EC6897"/>
    <w:rsid w:val="00EC6CCD"/>
    <w:rsid w:val="00EC6D31"/>
    <w:rsid w:val="00EC7170"/>
    <w:rsid w:val="00EC7266"/>
    <w:rsid w:val="00EC76F7"/>
    <w:rsid w:val="00ED0040"/>
    <w:rsid w:val="00ED00D0"/>
    <w:rsid w:val="00ED03D6"/>
    <w:rsid w:val="00ED0803"/>
    <w:rsid w:val="00ED09B9"/>
    <w:rsid w:val="00ED0DEA"/>
    <w:rsid w:val="00ED0E76"/>
    <w:rsid w:val="00ED1477"/>
    <w:rsid w:val="00ED1966"/>
    <w:rsid w:val="00ED19A9"/>
    <w:rsid w:val="00ED1AD8"/>
    <w:rsid w:val="00ED20C6"/>
    <w:rsid w:val="00ED2991"/>
    <w:rsid w:val="00ED2DD1"/>
    <w:rsid w:val="00ED31DB"/>
    <w:rsid w:val="00ED36BC"/>
    <w:rsid w:val="00ED38CF"/>
    <w:rsid w:val="00ED41D4"/>
    <w:rsid w:val="00ED44C2"/>
    <w:rsid w:val="00ED5218"/>
    <w:rsid w:val="00ED59A1"/>
    <w:rsid w:val="00ED5B5B"/>
    <w:rsid w:val="00ED5C4B"/>
    <w:rsid w:val="00ED5CD1"/>
    <w:rsid w:val="00ED6955"/>
    <w:rsid w:val="00ED738E"/>
    <w:rsid w:val="00EE0286"/>
    <w:rsid w:val="00EE0AE8"/>
    <w:rsid w:val="00EE0D68"/>
    <w:rsid w:val="00EE0DD3"/>
    <w:rsid w:val="00EE10A4"/>
    <w:rsid w:val="00EE11AD"/>
    <w:rsid w:val="00EE15F4"/>
    <w:rsid w:val="00EE16CB"/>
    <w:rsid w:val="00EE18EC"/>
    <w:rsid w:val="00EE1C17"/>
    <w:rsid w:val="00EE289C"/>
    <w:rsid w:val="00EE35F9"/>
    <w:rsid w:val="00EE3B8A"/>
    <w:rsid w:val="00EE3EF4"/>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34E"/>
    <w:rsid w:val="00EF2799"/>
    <w:rsid w:val="00EF2FEA"/>
    <w:rsid w:val="00EF303C"/>
    <w:rsid w:val="00EF3221"/>
    <w:rsid w:val="00EF38BD"/>
    <w:rsid w:val="00EF3FE2"/>
    <w:rsid w:val="00EF4310"/>
    <w:rsid w:val="00EF436D"/>
    <w:rsid w:val="00EF4856"/>
    <w:rsid w:val="00EF48C7"/>
    <w:rsid w:val="00EF5424"/>
    <w:rsid w:val="00EF54F7"/>
    <w:rsid w:val="00EF68FC"/>
    <w:rsid w:val="00EF6A45"/>
    <w:rsid w:val="00EF74A7"/>
    <w:rsid w:val="00EF7594"/>
    <w:rsid w:val="00EF7991"/>
    <w:rsid w:val="00F00159"/>
    <w:rsid w:val="00F001C1"/>
    <w:rsid w:val="00F0066C"/>
    <w:rsid w:val="00F00B53"/>
    <w:rsid w:val="00F00C09"/>
    <w:rsid w:val="00F00E68"/>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0FDA"/>
    <w:rsid w:val="00F112F1"/>
    <w:rsid w:val="00F117C2"/>
    <w:rsid w:val="00F123AB"/>
    <w:rsid w:val="00F123DA"/>
    <w:rsid w:val="00F125DC"/>
    <w:rsid w:val="00F125ED"/>
    <w:rsid w:val="00F12A41"/>
    <w:rsid w:val="00F134E6"/>
    <w:rsid w:val="00F13941"/>
    <w:rsid w:val="00F13973"/>
    <w:rsid w:val="00F13C09"/>
    <w:rsid w:val="00F140F0"/>
    <w:rsid w:val="00F14405"/>
    <w:rsid w:val="00F1445F"/>
    <w:rsid w:val="00F145DF"/>
    <w:rsid w:val="00F14F1F"/>
    <w:rsid w:val="00F1521E"/>
    <w:rsid w:val="00F15557"/>
    <w:rsid w:val="00F15AEB"/>
    <w:rsid w:val="00F1651E"/>
    <w:rsid w:val="00F16C2E"/>
    <w:rsid w:val="00F16EF0"/>
    <w:rsid w:val="00F176B7"/>
    <w:rsid w:val="00F17A93"/>
    <w:rsid w:val="00F17C44"/>
    <w:rsid w:val="00F17D32"/>
    <w:rsid w:val="00F20579"/>
    <w:rsid w:val="00F20698"/>
    <w:rsid w:val="00F20859"/>
    <w:rsid w:val="00F208B5"/>
    <w:rsid w:val="00F20A86"/>
    <w:rsid w:val="00F20F66"/>
    <w:rsid w:val="00F21940"/>
    <w:rsid w:val="00F21974"/>
    <w:rsid w:val="00F2198A"/>
    <w:rsid w:val="00F21D8C"/>
    <w:rsid w:val="00F22722"/>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4F51"/>
    <w:rsid w:val="00F3510C"/>
    <w:rsid w:val="00F352E9"/>
    <w:rsid w:val="00F36187"/>
    <w:rsid w:val="00F362F6"/>
    <w:rsid w:val="00F366C7"/>
    <w:rsid w:val="00F367AF"/>
    <w:rsid w:val="00F367CA"/>
    <w:rsid w:val="00F369FB"/>
    <w:rsid w:val="00F36CAC"/>
    <w:rsid w:val="00F3729F"/>
    <w:rsid w:val="00F3736F"/>
    <w:rsid w:val="00F40715"/>
    <w:rsid w:val="00F4087C"/>
    <w:rsid w:val="00F40BC1"/>
    <w:rsid w:val="00F4110E"/>
    <w:rsid w:val="00F4122F"/>
    <w:rsid w:val="00F41298"/>
    <w:rsid w:val="00F4129E"/>
    <w:rsid w:val="00F41311"/>
    <w:rsid w:val="00F41480"/>
    <w:rsid w:val="00F41BD7"/>
    <w:rsid w:val="00F41C1F"/>
    <w:rsid w:val="00F41F54"/>
    <w:rsid w:val="00F420B1"/>
    <w:rsid w:val="00F42947"/>
    <w:rsid w:val="00F42C5D"/>
    <w:rsid w:val="00F42C97"/>
    <w:rsid w:val="00F42E38"/>
    <w:rsid w:val="00F42FB5"/>
    <w:rsid w:val="00F4365A"/>
    <w:rsid w:val="00F43E9B"/>
    <w:rsid w:val="00F44C6C"/>
    <w:rsid w:val="00F44E21"/>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1F"/>
    <w:rsid w:val="00F50F4E"/>
    <w:rsid w:val="00F50FC2"/>
    <w:rsid w:val="00F510A6"/>
    <w:rsid w:val="00F51603"/>
    <w:rsid w:val="00F51972"/>
    <w:rsid w:val="00F51C2D"/>
    <w:rsid w:val="00F521BF"/>
    <w:rsid w:val="00F525CA"/>
    <w:rsid w:val="00F52868"/>
    <w:rsid w:val="00F52CDF"/>
    <w:rsid w:val="00F53BE5"/>
    <w:rsid w:val="00F53D57"/>
    <w:rsid w:val="00F541E4"/>
    <w:rsid w:val="00F54412"/>
    <w:rsid w:val="00F545A3"/>
    <w:rsid w:val="00F5468E"/>
    <w:rsid w:val="00F54729"/>
    <w:rsid w:val="00F54AFE"/>
    <w:rsid w:val="00F553F2"/>
    <w:rsid w:val="00F55678"/>
    <w:rsid w:val="00F55954"/>
    <w:rsid w:val="00F55CB3"/>
    <w:rsid w:val="00F56874"/>
    <w:rsid w:val="00F5689C"/>
    <w:rsid w:val="00F56C09"/>
    <w:rsid w:val="00F56EBE"/>
    <w:rsid w:val="00F57EEC"/>
    <w:rsid w:val="00F6031F"/>
    <w:rsid w:val="00F60493"/>
    <w:rsid w:val="00F60920"/>
    <w:rsid w:val="00F61364"/>
    <w:rsid w:val="00F61621"/>
    <w:rsid w:val="00F61A39"/>
    <w:rsid w:val="00F61D8A"/>
    <w:rsid w:val="00F61FAC"/>
    <w:rsid w:val="00F625F3"/>
    <w:rsid w:val="00F62921"/>
    <w:rsid w:val="00F62DE2"/>
    <w:rsid w:val="00F6328B"/>
    <w:rsid w:val="00F63432"/>
    <w:rsid w:val="00F63595"/>
    <w:rsid w:val="00F637E9"/>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944"/>
    <w:rsid w:val="00F67AFF"/>
    <w:rsid w:val="00F70006"/>
    <w:rsid w:val="00F706A8"/>
    <w:rsid w:val="00F70868"/>
    <w:rsid w:val="00F70950"/>
    <w:rsid w:val="00F70BF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376E"/>
    <w:rsid w:val="00F747C1"/>
    <w:rsid w:val="00F749EC"/>
    <w:rsid w:val="00F74A54"/>
    <w:rsid w:val="00F74B5E"/>
    <w:rsid w:val="00F754FB"/>
    <w:rsid w:val="00F7574D"/>
    <w:rsid w:val="00F75AD2"/>
    <w:rsid w:val="00F76BCC"/>
    <w:rsid w:val="00F77167"/>
    <w:rsid w:val="00F776E5"/>
    <w:rsid w:val="00F8010B"/>
    <w:rsid w:val="00F80204"/>
    <w:rsid w:val="00F80723"/>
    <w:rsid w:val="00F81119"/>
    <w:rsid w:val="00F8141B"/>
    <w:rsid w:val="00F816A1"/>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76A"/>
    <w:rsid w:val="00F85B2C"/>
    <w:rsid w:val="00F85B64"/>
    <w:rsid w:val="00F86361"/>
    <w:rsid w:val="00F87011"/>
    <w:rsid w:val="00F87AD3"/>
    <w:rsid w:val="00F87E4B"/>
    <w:rsid w:val="00F87EE7"/>
    <w:rsid w:val="00F9015C"/>
    <w:rsid w:val="00F9079C"/>
    <w:rsid w:val="00F90ACB"/>
    <w:rsid w:val="00F915FC"/>
    <w:rsid w:val="00F91D33"/>
    <w:rsid w:val="00F920A4"/>
    <w:rsid w:val="00F92774"/>
    <w:rsid w:val="00F92ECE"/>
    <w:rsid w:val="00F933A9"/>
    <w:rsid w:val="00F934D2"/>
    <w:rsid w:val="00F9363F"/>
    <w:rsid w:val="00F938B0"/>
    <w:rsid w:val="00F93ACE"/>
    <w:rsid w:val="00F93C6B"/>
    <w:rsid w:val="00F94049"/>
    <w:rsid w:val="00F94466"/>
    <w:rsid w:val="00F9477D"/>
    <w:rsid w:val="00F94A9D"/>
    <w:rsid w:val="00F94C9A"/>
    <w:rsid w:val="00F94CBD"/>
    <w:rsid w:val="00F94E05"/>
    <w:rsid w:val="00F953C6"/>
    <w:rsid w:val="00F9566E"/>
    <w:rsid w:val="00F95699"/>
    <w:rsid w:val="00F95904"/>
    <w:rsid w:val="00F95A1C"/>
    <w:rsid w:val="00F95D5B"/>
    <w:rsid w:val="00F963D7"/>
    <w:rsid w:val="00F964E4"/>
    <w:rsid w:val="00F96A86"/>
    <w:rsid w:val="00F96C7D"/>
    <w:rsid w:val="00F96D06"/>
    <w:rsid w:val="00F96E65"/>
    <w:rsid w:val="00F976CC"/>
    <w:rsid w:val="00F97731"/>
    <w:rsid w:val="00F97944"/>
    <w:rsid w:val="00FA0397"/>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503"/>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038"/>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5D1"/>
    <w:rsid w:val="00FB57E3"/>
    <w:rsid w:val="00FB5F2C"/>
    <w:rsid w:val="00FB643A"/>
    <w:rsid w:val="00FB6866"/>
    <w:rsid w:val="00FB6918"/>
    <w:rsid w:val="00FB6B30"/>
    <w:rsid w:val="00FB6B37"/>
    <w:rsid w:val="00FB6C85"/>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59AF"/>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07B"/>
    <w:rsid w:val="00FD2E8A"/>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79B"/>
    <w:rsid w:val="00FE08A4"/>
    <w:rsid w:val="00FE0F45"/>
    <w:rsid w:val="00FE112F"/>
    <w:rsid w:val="00FE131C"/>
    <w:rsid w:val="00FE14B2"/>
    <w:rsid w:val="00FE16BF"/>
    <w:rsid w:val="00FE1784"/>
    <w:rsid w:val="00FE18D3"/>
    <w:rsid w:val="00FE1AF4"/>
    <w:rsid w:val="00FE22BE"/>
    <w:rsid w:val="00FE2481"/>
    <w:rsid w:val="00FE26B3"/>
    <w:rsid w:val="00FE2D75"/>
    <w:rsid w:val="00FE3C83"/>
    <w:rsid w:val="00FE3D94"/>
    <w:rsid w:val="00FE436B"/>
    <w:rsid w:val="00FE54C1"/>
    <w:rsid w:val="00FE567C"/>
    <w:rsid w:val="00FE5EF4"/>
    <w:rsid w:val="00FE5F32"/>
    <w:rsid w:val="00FE6573"/>
    <w:rsid w:val="00FE689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6D4"/>
    <w:rsid w:val="00FF3AA1"/>
    <w:rsid w:val="00FF3DC9"/>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65E4"/>
    <w:rsid w:val="00FF7514"/>
    <w:rsid w:val="00FF7E0D"/>
    <w:rsid w:val="02794E08"/>
    <w:rsid w:val="02843C40"/>
    <w:rsid w:val="02DB0B4B"/>
    <w:rsid w:val="04024246"/>
    <w:rsid w:val="043D2793"/>
    <w:rsid w:val="048F11A3"/>
    <w:rsid w:val="067113F0"/>
    <w:rsid w:val="072F58D1"/>
    <w:rsid w:val="076018E1"/>
    <w:rsid w:val="07AF4724"/>
    <w:rsid w:val="08144B11"/>
    <w:rsid w:val="08BE7D5F"/>
    <w:rsid w:val="091E0915"/>
    <w:rsid w:val="0A5F51C6"/>
    <w:rsid w:val="0BE93457"/>
    <w:rsid w:val="0BFE5B16"/>
    <w:rsid w:val="0C4D4EE2"/>
    <w:rsid w:val="0D156E09"/>
    <w:rsid w:val="0D181066"/>
    <w:rsid w:val="0D7C74FB"/>
    <w:rsid w:val="0D906E02"/>
    <w:rsid w:val="0E84782D"/>
    <w:rsid w:val="0F41129E"/>
    <w:rsid w:val="0F9F33CE"/>
    <w:rsid w:val="104949F1"/>
    <w:rsid w:val="109840DD"/>
    <w:rsid w:val="10BA2FEC"/>
    <w:rsid w:val="10E31AAE"/>
    <w:rsid w:val="10F01EB8"/>
    <w:rsid w:val="11E244A3"/>
    <w:rsid w:val="12510755"/>
    <w:rsid w:val="15D94064"/>
    <w:rsid w:val="16A01B65"/>
    <w:rsid w:val="17886C3C"/>
    <w:rsid w:val="182520AA"/>
    <w:rsid w:val="185055A5"/>
    <w:rsid w:val="1A08462C"/>
    <w:rsid w:val="1D591175"/>
    <w:rsid w:val="1DD07407"/>
    <w:rsid w:val="1F330D54"/>
    <w:rsid w:val="1F7F44A3"/>
    <w:rsid w:val="22906AD4"/>
    <w:rsid w:val="23DA4D21"/>
    <w:rsid w:val="24155D6F"/>
    <w:rsid w:val="258C1BD4"/>
    <w:rsid w:val="25D350EF"/>
    <w:rsid w:val="269821F2"/>
    <w:rsid w:val="298D5632"/>
    <w:rsid w:val="299A549A"/>
    <w:rsid w:val="29FE0BA2"/>
    <w:rsid w:val="2A175F3F"/>
    <w:rsid w:val="2C124B51"/>
    <w:rsid w:val="2C85090D"/>
    <w:rsid w:val="2FC76879"/>
    <w:rsid w:val="300362BE"/>
    <w:rsid w:val="30C03E5B"/>
    <w:rsid w:val="31560881"/>
    <w:rsid w:val="34C73442"/>
    <w:rsid w:val="34CC7E5C"/>
    <w:rsid w:val="34CF3B89"/>
    <w:rsid w:val="3B16552D"/>
    <w:rsid w:val="3B195166"/>
    <w:rsid w:val="3B8A7D4D"/>
    <w:rsid w:val="3D29087A"/>
    <w:rsid w:val="3E6732BA"/>
    <w:rsid w:val="40E46622"/>
    <w:rsid w:val="413E7C31"/>
    <w:rsid w:val="418D379A"/>
    <w:rsid w:val="427A539F"/>
    <w:rsid w:val="438B323B"/>
    <w:rsid w:val="444057F2"/>
    <w:rsid w:val="44E815DD"/>
    <w:rsid w:val="4554073E"/>
    <w:rsid w:val="4644070E"/>
    <w:rsid w:val="473E40C2"/>
    <w:rsid w:val="4B20148D"/>
    <w:rsid w:val="4E3D32AF"/>
    <w:rsid w:val="4EEC1D09"/>
    <w:rsid w:val="4F68260A"/>
    <w:rsid w:val="4FB42AE4"/>
    <w:rsid w:val="4FE42D70"/>
    <w:rsid w:val="4FF041E4"/>
    <w:rsid w:val="508C08D8"/>
    <w:rsid w:val="50FE1D53"/>
    <w:rsid w:val="514F24B9"/>
    <w:rsid w:val="51AF1C2C"/>
    <w:rsid w:val="51F72F60"/>
    <w:rsid w:val="53BD3E87"/>
    <w:rsid w:val="53BF79D6"/>
    <w:rsid w:val="53C019A2"/>
    <w:rsid w:val="55A36F63"/>
    <w:rsid w:val="56CA4655"/>
    <w:rsid w:val="57311CF3"/>
    <w:rsid w:val="57AF6667"/>
    <w:rsid w:val="587C7306"/>
    <w:rsid w:val="59E75C6D"/>
    <w:rsid w:val="5A8B13E8"/>
    <w:rsid w:val="5A9233DB"/>
    <w:rsid w:val="5E67548B"/>
    <w:rsid w:val="65BE4312"/>
    <w:rsid w:val="6615324A"/>
    <w:rsid w:val="670A5348"/>
    <w:rsid w:val="681461C3"/>
    <w:rsid w:val="69107A05"/>
    <w:rsid w:val="693D2015"/>
    <w:rsid w:val="69E97595"/>
    <w:rsid w:val="69F60125"/>
    <w:rsid w:val="6A970098"/>
    <w:rsid w:val="6B340371"/>
    <w:rsid w:val="6B655FDC"/>
    <w:rsid w:val="6C040904"/>
    <w:rsid w:val="6C5C7ED0"/>
    <w:rsid w:val="6C951463"/>
    <w:rsid w:val="6D676DA5"/>
    <w:rsid w:val="6E2A7B2F"/>
    <w:rsid w:val="71C05785"/>
    <w:rsid w:val="721F0B78"/>
    <w:rsid w:val="72651B3D"/>
    <w:rsid w:val="73196B56"/>
    <w:rsid w:val="746F6C10"/>
    <w:rsid w:val="75C72825"/>
    <w:rsid w:val="76EC2B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8F64E"/>
  <w15:docId w15:val="{5A41DB1C-4DDF-4B64-AFD6-0B3AC2C23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1"/>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0">
    <w:name w:val="List 3"/>
    <w:basedOn w:val="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2">
    <w:name w:val="List 2"/>
    <w:basedOn w:val="a4"/>
    <w:qFormat/>
    <w:pPr>
      <w:numPr>
        <w:numId w:val="1"/>
      </w:numPr>
      <w:spacing w:before="180"/>
    </w:pPr>
    <w:rPr>
      <w:rFonts w:ascii="Arial" w:hAnsi="Arial"/>
      <w:sz w:val="22"/>
      <w:szCs w:val="20"/>
    </w:rPr>
  </w:style>
  <w:style w:type="paragraph" w:styleId="a4">
    <w:name w:val="List"/>
    <w:basedOn w:val="a"/>
    <w:qFormat/>
    <w:pPr>
      <w:ind w:left="283" w:hanging="283"/>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a"/>
    <w:next w:val="a"/>
    <w:uiPriority w:val="39"/>
    <w:qFormat/>
  </w:style>
  <w:style w:type="paragraph" w:styleId="22">
    <w:name w:val="List Number 2"/>
    <w:basedOn w:val="a5"/>
    <w:qFormat/>
    <w:pPr>
      <w:ind w:left="851"/>
    </w:pPr>
  </w:style>
  <w:style w:type="paragraph" w:styleId="a5">
    <w:name w:val="List Number"/>
    <w:basedOn w:val="a4"/>
    <w:qFormat/>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pPr>
      <w:overflowPunct w:val="0"/>
      <w:autoSpaceDE w:val="0"/>
      <w:autoSpaceDN w:val="0"/>
      <w:adjustRightInd w:val="0"/>
      <w:spacing w:after="180"/>
      <w:ind w:left="568" w:hanging="284"/>
      <w:textAlignment w:val="baseline"/>
    </w:pPr>
    <w:rPr>
      <w:szCs w:val="20"/>
      <w:lang w:val="en-GB" w:eastAsia="ja-JP"/>
    </w:rPr>
  </w:style>
  <w:style w:type="paragraph" w:styleId="a7">
    <w:name w:val="caption"/>
    <w:basedOn w:val="a"/>
    <w:next w:val="a"/>
    <w:link w:val="24"/>
    <w:uiPriority w:val="35"/>
    <w:qFormat/>
    <w:pPr>
      <w:overflowPunct w:val="0"/>
      <w:autoSpaceDE w:val="0"/>
      <w:autoSpaceDN w:val="0"/>
      <w:adjustRightInd w:val="0"/>
      <w:spacing w:before="120" w:after="120"/>
      <w:textAlignment w:val="baseline"/>
    </w:pPr>
    <w:rPr>
      <w:szCs w:val="20"/>
      <w:lang w:val="en-GB"/>
    </w:rPr>
  </w:style>
  <w:style w:type="paragraph" w:styleId="a8">
    <w:name w:val="Document Map"/>
    <w:basedOn w:val="a"/>
    <w:link w:val="a9"/>
    <w:qFormat/>
    <w:pPr>
      <w:shd w:val="clear" w:color="auto" w:fill="000080"/>
    </w:pPr>
  </w:style>
  <w:style w:type="paragraph" w:styleId="aa">
    <w:name w:val="annotation text"/>
    <w:basedOn w:val="a"/>
    <w:link w:val="ab"/>
    <w:uiPriority w:val="99"/>
    <w:qFormat/>
  </w:style>
  <w:style w:type="paragraph" w:styleId="51">
    <w:name w:val="List Bullet 5"/>
    <w:basedOn w:val="41"/>
    <w:qFormat/>
    <w:pPr>
      <w:ind w:left="1702"/>
    </w:p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c">
    <w:name w:val="Balloon Text"/>
    <w:basedOn w:val="a"/>
    <w:link w:val="ad"/>
    <w:semiHidden/>
    <w:qFormat/>
    <w:rPr>
      <w:sz w:val="18"/>
      <w:szCs w:val="18"/>
    </w:rPr>
  </w:style>
  <w:style w:type="paragraph" w:styleId="ae">
    <w:name w:val="footer"/>
    <w:basedOn w:val="a"/>
    <w:link w:val="af"/>
    <w:qFormat/>
    <w:pPr>
      <w:tabs>
        <w:tab w:val="center" w:pos="4153"/>
        <w:tab w:val="right" w:pos="8306"/>
      </w:tabs>
      <w:snapToGrid w:val="0"/>
    </w:pPr>
    <w:rPr>
      <w:sz w:val="18"/>
      <w:szCs w:val="18"/>
    </w:rPr>
  </w:style>
  <w:style w:type="paragraph" w:styleId="af0">
    <w:name w:val="header"/>
    <w:basedOn w:val="a"/>
    <w:link w:val="25"/>
    <w:uiPriority w:val="99"/>
    <w:qFormat/>
    <w:pPr>
      <w:tabs>
        <w:tab w:val="center" w:pos="4536"/>
        <w:tab w:val="right" w:pos="9072"/>
      </w:tabs>
    </w:pPr>
    <w:rPr>
      <w:rFonts w:ascii="Arial" w:eastAsia="MS Mincho" w:hAnsi="Arial"/>
      <w:b/>
    </w:rPr>
  </w:style>
  <w:style w:type="paragraph" w:styleId="af1">
    <w:name w:val="footnote text"/>
    <w:basedOn w:val="a"/>
    <w:link w:val="af2"/>
    <w:qFormat/>
    <w:pPr>
      <w:keepLines/>
      <w:overflowPunct w:val="0"/>
      <w:autoSpaceDE w:val="0"/>
      <w:autoSpaceDN w:val="0"/>
      <w:adjustRightInd w:val="0"/>
      <w:ind w:left="454" w:hanging="454"/>
      <w:textAlignment w:val="baseline"/>
    </w:pPr>
    <w:rPr>
      <w:sz w:val="16"/>
      <w:szCs w:val="20"/>
      <w:lang w:val="zh-CN" w:eastAsia="zh-CN"/>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next w:val="a"/>
    <w:uiPriority w:val="39"/>
    <w:qFormat/>
    <w:pPr>
      <w:ind w:left="1418" w:hanging="1418"/>
    </w:pPr>
    <w:rPr>
      <w:rFonts w:eastAsia="Times New Roman"/>
      <w:lang w:val="en-GB" w:eastAsia="ja-JP"/>
    </w:rPr>
  </w:style>
  <w:style w:type="paragraph" w:styleId="af3">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2">
    <w:name w:val="index 1"/>
    <w:basedOn w:val="a"/>
    <w:next w:val="a"/>
    <w:qFormat/>
    <w:pPr>
      <w:keepLines/>
      <w:overflowPunct w:val="0"/>
      <w:autoSpaceDE w:val="0"/>
      <w:autoSpaceDN w:val="0"/>
      <w:adjustRightInd w:val="0"/>
      <w:textAlignment w:val="baseline"/>
    </w:pPr>
    <w:rPr>
      <w:szCs w:val="20"/>
      <w:lang w:val="en-GB" w:eastAsia="ja-JP"/>
    </w:rPr>
  </w:style>
  <w:style w:type="paragraph" w:styleId="26">
    <w:name w:val="index 2"/>
    <w:basedOn w:val="12"/>
    <w:next w:val="a"/>
    <w:qFormat/>
    <w:pPr>
      <w:ind w:left="284"/>
    </w:pPr>
  </w:style>
  <w:style w:type="paragraph" w:styleId="af4">
    <w:name w:val="annotation subject"/>
    <w:basedOn w:val="aa"/>
    <w:next w:val="aa"/>
    <w:link w:val="af5"/>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semiHidden/>
    <w:unhideWhenUsed/>
    <w:qFormat/>
    <w:rPr>
      <w:color w:val="800080"/>
      <w:u w:val="single"/>
    </w:rPr>
  </w:style>
  <w:style w:type="character" w:styleId="af8">
    <w:name w:val="Hyperlink"/>
    <w:uiPriority w:val="99"/>
    <w:qFormat/>
    <w:rPr>
      <w:color w:val="0000FF"/>
      <w:u w:val="single"/>
    </w:rPr>
  </w:style>
  <w:style w:type="character" w:styleId="af9">
    <w:name w:val="annotation reference"/>
    <w:qFormat/>
    <w:rPr>
      <w:sz w:val="21"/>
      <w:szCs w:val="21"/>
    </w:rPr>
  </w:style>
  <w:style w:type="character" w:styleId="afa">
    <w:name w:val="footnote reference"/>
    <w:qFormat/>
    <w:rPr>
      <w:b/>
      <w:position w:val="6"/>
      <w:sz w:val="16"/>
    </w:rPr>
  </w:style>
  <w:style w:type="character" w:customStyle="1" w:styleId="24">
    <w:name w:val="题注 字符2"/>
    <w:link w:val="a7"/>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25">
    <w:name w:val="页眉 字符2"/>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b">
    <w:name w:val="List Paragraph"/>
    <w:basedOn w:val="a"/>
    <w:link w:val="13"/>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4"/>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列表段落 字符1"/>
    <w:link w:val="afb"/>
    <w:uiPriority w:val="34"/>
    <w:qFormat/>
    <w:locked/>
    <w:rPr>
      <w:rFonts w:ascii="Calibri" w:hAnsi="Calibri"/>
      <w:kern w:val="2"/>
      <w:sz w:val="21"/>
      <w:szCs w:val="22"/>
    </w:rPr>
  </w:style>
  <w:style w:type="paragraph" w:customStyle="1" w:styleId="afc">
    <w:name w:val="插图题注"/>
    <w:basedOn w:val="a"/>
    <w:qFormat/>
    <w:pPr>
      <w:spacing w:after="180"/>
    </w:pPr>
    <w:rPr>
      <w:rFonts w:eastAsia="宋体"/>
      <w:szCs w:val="20"/>
      <w:lang w:val="en-GB"/>
    </w:rPr>
  </w:style>
  <w:style w:type="paragraph" w:customStyle="1" w:styleId="afd">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a"/>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4">
    <w:name w:val="题注 字符1"/>
    <w:qFormat/>
    <w:rPr>
      <w:lang w:val="en-GB" w:eastAsia="en-US" w:bidi="ar-SA"/>
    </w:rPr>
  </w:style>
  <w:style w:type="character" w:customStyle="1" w:styleId="21">
    <w:name w:val="标题 2 字符"/>
    <w:link w:val="20"/>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a"/>
    <w:next w:val="Doc-text2"/>
    <w:qFormat/>
    <w:pPr>
      <w:numPr>
        <w:numId w:val="5"/>
      </w:numPr>
      <w:spacing w:before="60"/>
    </w:pPr>
    <w:rPr>
      <w:rFonts w:ascii="Arial" w:eastAsia="MS Mincho" w:hAnsi="Arial"/>
      <w:b/>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a"/>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5">
    <w:name w:val="样式1"/>
    <w:basedOn w:val="a0"/>
    <w:qFormat/>
    <w:pPr>
      <w:jc w:val="center"/>
    </w:pPr>
  </w:style>
  <w:style w:type="character" w:customStyle="1" w:styleId="ab">
    <w:name w:val="批注文字 字符"/>
    <w:link w:val="aa"/>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6">
    <w:name w:val="页眉 字符1"/>
    <w:uiPriority w:val="99"/>
    <w:semiHidden/>
    <w:qFormat/>
    <w:locked/>
    <w:rPr>
      <w:rFonts w:ascii="Arial" w:eastAsia="MS Mincho" w:hAnsi="Arial" w:cs="Arial"/>
      <w:b/>
      <w:szCs w:val="24"/>
      <w:lang w:eastAsia="en-US"/>
    </w:rPr>
  </w:style>
  <w:style w:type="character" w:customStyle="1" w:styleId="afe">
    <w:name w:val="正文文本 字符"/>
    <w:qFormat/>
    <w:rPr>
      <w:rFonts w:eastAsia="MS Mincho"/>
      <w:szCs w:val="24"/>
      <w:lang w:eastAsia="en-US"/>
    </w:rPr>
  </w:style>
  <w:style w:type="character" w:customStyle="1" w:styleId="aff">
    <w:name w:val="列表段落 字符"/>
    <w:uiPriority w:val="34"/>
    <w:qFormat/>
    <w:rPr>
      <w:rFonts w:eastAsia="MS Mincho"/>
      <w:lang w:val="en-GB" w:eastAsia="en-US"/>
    </w:rPr>
  </w:style>
  <w:style w:type="character" w:customStyle="1" w:styleId="aff0">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af2">
    <w:name w:val="脚注文本 字符"/>
    <w:link w:val="af1"/>
    <w:qFormat/>
    <w:rPr>
      <w:rFonts w:eastAsia="Times New Roman"/>
      <w:sz w:val="16"/>
      <w:lang w:val="zh-CN"/>
    </w:rPr>
  </w:style>
  <w:style w:type="character" w:customStyle="1" w:styleId="10">
    <w:name w:val="标题 1 字符"/>
    <w:link w:val="1"/>
    <w:qFormat/>
    <w:rPr>
      <w:rFonts w:ascii="Arial" w:hAnsi="Arial" w:cs="Arial"/>
      <w:b/>
      <w:bCs/>
      <w:kern w:val="32"/>
      <w:sz w:val="28"/>
      <w:szCs w:val="32"/>
    </w:rPr>
  </w:style>
  <w:style w:type="character" w:customStyle="1" w:styleId="33">
    <w:name w:val="标题 3 字符"/>
    <w:qFormat/>
    <w:rPr>
      <w:rFonts w:ascii="Arial" w:eastAsia="Times New Roman" w:hAnsi="Arial"/>
      <w:sz w:val="28"/>
    </w:rPr>
  </w:style>
  <w:style w:type="character" w:customStyle="1" w:styleId="40">
    <w:name w:val="标题 4 字符"/>
    <w:link w:val="4"/>
    <w:qFormat/>
    <w:locked/>
    <w:rPr>
      <w:rFonts w:eastAsia="MS Mincho"/>
      <w:b/>
      <w:bCs/>
      <w:sz w:val="28"/>
      <w:szCs w:val="28"/>
      <w:lang w:eastAsia="en-US"/>
    </w:rPr>
  </w:style>
  <w:style w:type="character" w:customStyle="1" w:styleId="50">
    <w:name w:val="标题 5 字符"/>
    <w:link w:val="5"/>
    <w:qFormat/>
    <w:rPr>
      <w:rFonts w:eastAsia="Times New Roman"/>
      <w:b/>
      <w:bCs/>
      <w:sz w:val="28"/>
      <w:szCs w:val="28"/>
      <w:lang w:eastAsia="en-US"/>
    </w:rPr>
  </w:style>
  <w:style w:type="character" w:customStyle="1" w:styleId="60">
    <w:name w:val="标题 6 字符"/>
    <w:link w:val="6"/>
    <w:qFormat/>
    <w:rPr>
      <w:rFonts w:ascii="Arial" w:eastAsia="黑体" w:hAnsi="Arial"/>
      <w:b/>
      <w:bCs/>
      <w:sz w:val="24"/>
      <w:szCs w:val="24"/>
      <w:lang w:eastAsia="en-US"/>
    </w:rPr>
  </w:style>
  <w:style w:type="character" w:customStyle="1" w:styleId="70">
    <w:name w:val="标题 7 字符"/>
    <w:link w:val="7"/>
    <w:qFormat/>
    <w:rPr>
      <w:rFonts w:eastAsia="Times New Roman"/>
      <w:b/>
      <w:bCs/>
      <w:sz w:val="24"/>
      <w:szCs w:val="24"/>
      <w:lang w:eastAsia="en-US"/>
    </w:rPr>
  </w:style>
  <w:style w:type="character" w:customStyle="1" w:styleId="80">
    <w:name w:val="标题 8 字符"/>
    <w:link w:val="8"/>
    <w:qFormat/>
    <w:rPr>
      <w:rFonts w:ascii="Arial" w:eastAsia="黑体" w:hAnsi="Arial"/>
      <w:sz w:val="24"/>
      <w:szCs w:val="24"/>
      <w:lang w:eastAsia="en-US"/>
    </w:rPr>
  </w:style>
  <w:style w:type="character" w:customStyle="1" w:styleId="90">
    <w:name w:val="标题 9 字符"/>
    <w:link w:val="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e"/>
    <w:qFormat/>
    <w:rPr>
      <w:rFonts w:eastAsia="Times New Roman"/>
      <w:sz w:val="18"/>
      <w:szCs w:val="18"/>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42"/>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52"/>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7">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af5">
    <w:name w:val="批注主题 字符"/>
    <w:link w:val="af4"/>
    <w:qFormat/>
    <w:rPr>
      <w:rFonts w:eastAsia="Times New Roman"/>
      <w:b/>
      <w:bCs/>
      <w:szCs w:val="24"/>
      <w:lang w:eastAsia="en-US"/>
    </w:rPr>
  </w:style>
  <w:style w:type="character" w:customStyle="1" w:styleId="ad">
    <w:name w:val="批注框文本 字符"/>
    <w:link w:val="ac"/>
    <w:semiHidden/>
    <w:qFormat/>
    <w:rPr>
      <w:rFonts w:eastAsia="Times New Roman"/>
      <w:sz w:val="18"/>
      <w:szCs w:val="18"/>
      <w:lang w:eastAsia="en-US"/>
    </w:rPr>
  </w:style>
  <w:style w:type="character" w:customStyle="1" w:styleId="a9">
    <w:name w:val="文档结构图 字符"/>
    <w:link w:val="a8"/>
    <w:qFormat/>
    <w:rPr>
      <w:rFonts w:eastAsia="Times New Roman"/>
      <w:szCs w:val="24"/>
      <w:shd w:val="clear" w:color="auto" w:fill="000080"/>
      <w:lang w:eastAsia="en-US"/>
    </w:rPr>
  </w:style>
  <w:style w:type="paragraph" w:customStyle="1" w:styleId="18">
    <w:name w:val="変更箇所1"/>
    <w:hidden/>
    <w:uiPriority w:val="99"/>
    <w:unhideWhenUsed/>
    <w:qFormat/>
    <w:rPr>
      <w:rFonts w:eastAsia="Times New Roman"/>
      <w:lang w:val="en-GB" w:eastAsia="ja-JP"/>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a"/>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1">
    <w:name w:val="题注 字符"/>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qFormat/>
    <w:rPr>
      <w:rFonts w:asciiTheme="minorHAnsi" w:eastAsiaTheme="minorEastAsia" w:hAnsiTheme="minorHAnsi" w:cstheme="minorBidi"/>
      <w:b/>
      <w:bCs/>
      <w:sz w:val="24"/>
      <w:szCs w:val="24"/>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a"/>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sz w:val="24"/>
      <w:lang w:eastAsia="zh-CN"/>
    </w:rPr>
  </w:style>
  <w:style w:type="character" w:customStyle="1" w:styleId="150">
    <w:name w:val="15"/>
    <w:basedOn w:val="a1"/>
    <w:qFormat/>
    <w:rPr>
      <w:rFonts w:ascii="Times New Roman" w:hAnsi="Times New Roman" w:cs="Times New Roman" w:hint="default"/>
      <w:color w:val="0000FF"/>
      <w:u w:val="single"/>
    </w:rPr>
  </w:style>
  <w:style w:type="paragraph" w:customStyle="1" w:styleId="19">
    <w:name w:val="正文1"/>
    <w:qFormat/>
    <w:pPr>
      <w:jc w:val="both"/>
    </w:pPr>
    <w:rPr>
      <w:kern w:val="2"/>
      <w:sz w:val="21"/>
      <w:szCs w:val="21"/>
    </w:rPr>
  </w:style>
  <w:style w:type="paragraph" w:customStyle="1" w:styleId="27">
    <w:name w:val="正文2"/>
    <w:qFormat/>
    <w:pPr>
      <w:jc w:val="both"/>
    </w:pPr>
    <w:rPr>
      <w:kern w:val="2"/>
      <w:sz w:val="21"/>
      <w:szCs w:val="21"/>
    </w:rPr>
  </w:style>
  <w:style w:type="paragraph" w:customStyle="1" w:styleId="ListParagraph1">
    <w:name w:val="List Paragraph1"/>
    <w:basedOn w:val="a"/>
    <w:qFormat/>
    <w:pPr>
      <w:widowControl w:val="0"/>
      <w:ind w:firstLineChars="200" w:firstLine="420"/>
      <w:jc w:val="both"/>
    </w:pPr>
    <w:rPr>
      <w:rFonts w:ascii="Calibri" w:eastAsia="宋体"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D21661-84C9-429A-99E0-B1CE4635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71</TotalTime>
  <Pages>4</Pages>
  <Words>1565</Words>
  <Characters>8922</Characters>
  <Application>Microsoft Office Word</Application>
  <DocSecurity>0</DocSecurity>
  <Lines>74</Lines>
  <Paragraphs>20</Paragraphs>
  <ScaleCrop>false</ScaleCrop>
  <Company>Vivo</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108</cp:revision>
  <cp:lastPrinted>2022-08-02T01:28:00Z</cp:lastPrinted>
  <dcterms:created xsi:type="dcterms:W3CDTF">2023-09-27T08:12:00Z</dcterms:created>
  <dcterms:modified xsi:type="dcterms:W3CDTF">2023-11-03T09:08:00Z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7728EAA8F75847FFB8D1BE777990679A</vt:lpwstr>
  </property>
</Properties>
</file>